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13F2" w14:textId="35730EFC" w:rsidR="004D7547" w:rsidRDefault="004D7547" w:rsidP="004D7547">
      <w:pPr>
        <w:spacing w:line="480" w:lineRule="auto"/>
        <w:jc w:val="center"/>
        <w:rPr>
          <w:b/>
          <w:bCs/>
          <w:color w:val="000000" w:themeColor="text1"/>
        </w:rPr>
      </w:pPr>
      <w:r w:rsidRPr="004D7547">
        <w:rPr>
          <w:b/>
          <w:bCs/>
          <w:color w:val="000000" w:themeColor="text1"/>
        </w:rPr>
        <w:t>Supplementary</w:t>
      </w:r>
      <w:r>
        <w:rPr>
          <w:b/>
          <w:bCs/>
          <w:color w:val="000000" w:themeColor="text1"/>
        </w:rPr>
        <w:t xml:space="preserve"> </w:t>
      </w:r>
      <w:r w:rsidR="00DC6265">
        <w:rPr>
          <w:b/>
          <w:bCs/>
          <w:color w:val="000000" w:themeColor="text1"/>
        </w:rPr>
        <w:t xml:space="preserve">Analyses </w:t>
      </w:r>
      <w:r>
        <w:rPr>
          <w:b/>
          <w:bCs/>
          <w:color w:val="000000" w:themeColor="text1"/>
        </w:rPr>
        <w:t xml:space="preserve">Document </w:t>
      </w:r>
    </w:p>
    <w:p w14:paraId="002987B8" w14:textId="78CBDFB4" w:rsidR="004D7547" w:rsidRPr="00DC6265" w:rsidRDefault="004D7547" w:rsidP="00DC6265">
      <w:pPr>
        <w:spacing w:line="480" w:lineRule="auto"/>
        <w:rPr>
          <w:color w:val="000000" w:themeColor="text1"/>
          <w:u w:val="single"/>
        </w:rPr>
      </w:pPr>
      <w:r w:rsidRPr="00DC6265">
        <w:rPr>
          <w:color w:val="000000" w:themeColor="text1"/>
          <w:u w:val="single"/>
        </w:rPr>
        <w:t>Supplementary Analysis 1: Effect of Irrelevant Speech on Serial Recall</w:t>
      </w:r>
      <w:r w:rsidR="00DC6265" w:rsidRPr="00DC6265">
        <w:rPr>
          <w:color w:val="000000" w:themeColor="text1"/>
          <w:u w:val="single"/>
        </w:rPr>
        <w:t xml:space="preserve"> (Phase 1)</w:t>
      </w:r>
    </w:p>
    <w:p w14:paraId="044E7198" w14:textId="1B6CE746" w:rsidR="007465B7" w:rsidRDefault="00DC6265" w:rsidP="002022CB">
      <w:pPr>
        <w:spacing w:line="480" w:lineRule="auto"/>
        <w:ind w:firstLine="720"/>
        <w:rPr>
          <w:color w:val="000000" w:themeColor="text1"/>
        </w:rPr>
      </w:pPr>
      <w:r w:rsidRPr="00DC6265">
        <w:rPr>
          <w:color w:val="000000" w:themeColor="text1"/>
        </w:rPr>
        <w:t>T</w:t>
      </w:r>
      <w:r w:rsidR="00423558" w:rsidRPr="00DC6265">
        <w:rPr>
          <w:color w:val="000000" w:themeColor="text1"/>
        </w:rPr>
        <w:t>o investigate whether susceptibility to disruption differed as a function of which set was to-be-ignored, a</w:t>
      </w:r>
      <w:r w:rsidR="00A6003F" w:rsidRPr="00DC6265">
        <w:rPr>
          <w:color w:val="000000" w:themeColor="text1"/>
        </w:rPr>
        <w:t xml:space="preserve"> 3</w:t>
      </w:r>
      <w:r w:rsidR="0087585B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(</w:t>
      </w:r>
      <w:r w:rsidR="005E5BB4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ound </w:t>
      </w:r>
      <w:r w:rsidR="00E62CF7" w:rsidRPr="00DC6265">
        <w:rPr>
          <w:color w:val="000000" w:themeColor="text1"/>
        </w:rPr>
        <w:t>c</w:t>
      </w:r>
      <w:r w:rsidR="00A6003F" w:rsidRPr="00DC6265">
        <w:rPr>
          <w:color w:val="000000" w:themeColor="text1"/>
        </w:rPr>
        <w:t xml:space="preserve">ondition: </w:t>
      </w:r>
      <w:r w:rsidR="00963D0D" w:rsidRPr="00DC6265">
        <w:rPr>
          <w:color w:val="000000" w:themeColor="text1"/>
        </w:rPr>
        <w:t>q</w:t>
      </w:r>
      <w:r w:rsidR="00A6003F" w:rsidRPr="00DC6265">
        <w:rPr>
          <w:color w:val="000000" w:themeColor="text1"/>
        </w:rPr>
        <w:t xml:space="preserve">uiet vs. </w:t>
      </w:r>
      <w:r w:rsidR="00963D0D" w:rsidRPr="00DC6265">
        <w:rPr>
          <w:color w:val="000000" w:themeColor="text1"/>
        </w:rPr>
        <w:t>m</w:t>
      </w:r>
      <w:r w:rsidR="0063123D" w:rsidRPr="00DC6265">
        <w:rPr>
          <w:color w:val="000000" w:themeColor="text1"/>
        </w:rPr>
        <w:t xml:space="preserve">eaningless </w:t>
      </w:r>
      <w:r w:rsidR="00963D0D" w:rsidRPr="00DC6265">
        <w:rPr>
          <w:color w:val="000000" w:themeColor="text1"/>
        </w:rPr>
        <w:t xml:space="preserve">speech </w:t>
      </w:r>
      <w:r w:rsidR="00A6003F" w:rsidRPr="00DC6265">
        <w:rPr>
          <w:color w:val="000000" w:themeColor="text1"/>
        </w:rPr>
        <w:t xml:space="preserve">vs. </w:t>
      </w:r>
      <w:r w:rsidR="00963D0D" w:rsidRPr="00DC6265">
        <w:rPr>
          <w:color w:val="000000" w:themeColor="text1"/>
        </w:rPr>
        <w:t>m</w:t>
      </w:r>
      <w:r w:rsidR="0063123D" w:rsidRPr="00DC6265">
        <w:rPr>
          <w:color w:val="000000" w:themeColor="text1"/>
        </w:rPr>
        <w:t xml:space="preserve">eaningful </w:t>
      </w:r>
      <w:r w:rsidR="00963D0D" w:rsidRPr="00DC6265">
        <w:rPr>
          <w:color w:val="000000" w:themeColor="text1"/>
        </w:rPr>
        <w:t>speech</w:t>
      </w:r>
      <w:r w:rsidR="00A6003F" w:rsidRPr="00DC6265">
        <w:rPr>
          <w:color w:val="000000" w:themeColor="text1"/>
        </w:rPr>
        <w:t>) × 2</w:t>
      </w:r>
      <w:r w:rsidR="0063123D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(</w:t>
      </w:r>
      <w:r w:rsidR="005E5BB4" w:rsidRPr="00DC6265">
        <w:rPr>
          <w:color w:val="000000" w:themeColor="text1"/>
        </w:rPr>
        <w:t>o</w:t>
      </w:r>
      <w:r w:rsidR="0063123D" w:rsidRPr="00DC6265">
        <w:rPr>
          <w:color w:val="000000" w:themeColor="text1"/>
        </w:rPr>
        <w:t xml:space="preserve">rganisation: </w:t>
      </w:r>
      <w:r w:rsidR="00963D0D" w:rsidRPr="00DC6265">
        <w:rPr>
          <w:color w:val="000000" w:themeColor="text1"/>
        </w:rPr>
        <w:t xml:space="preserve">blocked </w:t>
      </w:r>
      <w:r w:rsidR="00A6003F" w:rsidRPr="00DC6265">
        <w:rPr>
          <w:color w:val="000000" w:themeColor="text1"/>
        </w:rPr>
        <w:t xml:space="preserve">vs. </w:t>
      </w:r>
      <w:r w:rsidR="00963D0D" w:rsidRPr="00DC6265">
        <w:rPr>
          <w:color w:val="000000" w:themeColor="text1"/>
        </w:rPr>
        <w:t>random p</w:t>
      </w:r>
      <w:r w:rsidR="00A6003F" w:rsidRPr="00DC6265">
        <w:rPr>
          <w:color w:val="000000" w:themeColor="text1"/>
        </w:rPr>
        <w:t>resentation) × 4</w:t>
      </w:r>
      <w:r w:rsidR="00CA35E6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(</w:t>
      </w:r>
      <w:r w:rsidR="005E5BB4" w:rsidRPr="00DC6265">
        <w:rPr>
          <w:color w:val="000000" w:themeColor="text1"/>
        </w:rPr>
        <w:t>i</w:t>
      </w:r>
      <w:r w:rsidR="00A6003F" w:rsidRPr="00DC6265">
        <w:rPr>
          <w:color w:val="000000" w:themeColor="text1"/>
        </w:rPr>
        <w:t xml:space="preserve">gnored </w:t>
      </w:r>
      <w:r w:rsidR="005E5BB4" w:rsidRPr="00DC6265">
        <w:rPr>
          <w:color w:val="000000" w:themeColor="text1"/>
        </w:rPr>
        <w:t>set</w:t>
      </w:r>
      <w:r w:rsidR="00A6003F" w:rsidRPr="00DC6265">
        <w:rPr>
          <w:color w:val="000000" w:themeColor="text1"/>
        </w:rPr>
        <w:t>: Set</w:t>
      </w:r>
      <w:r w:rsidR="00963D0D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1A vs. Set</w:t>
      </w:r>
      <w:r w:rsidR="00963D0D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1B vs. Set</w:t>
      </w:r>
      <w:r w:rsidR="00963D0D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>2A vs. Set</w:t>
      </w:r>
      <w:r w:rsidR="00963D0D" w:rsidRPr="00DC6265">
        <w:rPr>
          <w:color w:val="000000" w:themeColor="text1"/>
        </w:rPr>
        <w:t xml:space="preserve"> </w:t>
      </w:r>
      <w:r w:rsidR="00A6003F" w:rsidRPr="00DC6265">
        <w:rPr>
          <w:color w:val="000000" w:themeColor="text1"/>
        </w:rPr>
        <w:t xml:space="preserve">2B) </w:t>
      </w:r>
      <w:r w:rsidR="00536032" w:rsidRPr="00DC6265">
        <w:rPr>
          <w:color w:val="000000" w:themeColor="text1"/>
        </w:rPr>
        <w:t xml:space="preserve">mixed ANOVA </w:t>
      </w:r>
      <w:r w:rsidR="00423558" w:rsidRPr="00DC6265">
        <w:rPr>
          <w:color w:val="000000" w:themeColor="text1"/>
        </w:rPr>
        <w:t xml:space="preserve">was undertaken. This </w:t>
      </w:r>
      <w:r w:rsidR="00A6003F" w:rsidRPr="00DC6265">
        <w:rPr>
          <w:color w:val="000000" w:themeColor="text1"/>
        </w:rPr>
        <w:t xml:space="preserve">revealed a main effect of </w:t>
      </w:r>
      <w:r w:rsidR="008F5456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ound </w:t>
      </w:r>
      <w:r w:rsidR="008F5456" w:rsidRPr="00DC6265">
        <w:rPr>
          <w:color w:val="000000" w:themeColor="text1"/>
        </w:rPr>
        <w:t>c</w:t>
      </w:r>
      <w:r w:rsidR="00A6003F" w:rsidRPr="00DC6265">
        <w:rPr>
          <w:color w:val="000000" w:themeColor="text1"/>
        </w:rPr>
        <w:t xml:space="preserve">ondition, </w:t>
      </w:r>
      <w:proofErr w:type="gramStart"/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>(</w:t>
      </w:r>
      <w:proofErr w:type="gramEnd"/>
      <w:r w:rsidR="00A6003F" w:rsidRPr="00DC6265">
        <w:rPr>
          <w:color w:val="000000" w:themeColor="text1"/>
        </w:rPr>
        <w:t xml:space="preserve">2, 224) = 134.387,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0.009,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&lt; .001,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  <w:lang w:val="en-US"/>
        </w:rPr>
        <w:t xml:space="preserve"> </w:t>
      </w:r>
      <w:r w:rsidR="00A6003F" w:rsidRPr="00DC6265">
        <w:rPr>
          <w:color w:val="000000" w:themeColor="text1"/>
        </w:rPr>
        <w:t xml:space="preserve">= .545, but no main effect of </w:t>
      </w:r>
      <w:r w:rsidR="008F5456" w:rsidRPr="00DC6265">
        <w:rPr>
          <w:color w:val="000000" w:themeColor="text1"/>
        </w:rPr>
        <w:t>organisation</w:t>
      </w:r>
      <w:r w:rsidR="00A6003F" w:rsidRPr="00DC6265">
        <w:rPr>
          <w:color w:val="000000" w:themeColor="text1"/>
        </w:rPr>
        <w:t xml:space="preserve">, </w:t>
      </w:r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 xml:space="preserve">(1, 112) = 0.762,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0.065,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.385,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.007, nor of </w:t>
      </w:r>
      <w:r w:rsidR="008F5456" w:rsidRPr="00DC6265">
        <w:rPr>
          <w:color w:val="000000" w:themeColor="text1"/>
        </w:rPr>
        <w:t>i</w:t>
      </w:r>
      <w:r w:rsidR="00A6003F" w:rsidRPr="00DC6265">
        <w:rPr>
          <w:color w:val="000000" w:themeColor="text1"/>
        </w:rPr>
        <w:t xml:space="preserve">gnored </w:t>
      </w:r>
      <w:r w:rsidR="008F5456" w:rsidRPr="00DC6265">
        <w:rPr>
          <w:color w:val="000000" w:themeColor="text1"/>
        </w:rPr>
        <w:t>set</w:t>
      </w:r>
      <w:r w:rsidR="00A6003F" w:rsidRPr="00DC6265">
        <w:rPr>
          <w:color w:val="000000" w:themeColor="text1"/>
        </w:rPr>
        <w:t xml:space="preserve">, </w:t>
      </w:r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 xml:space="preserve">(3, 112) = 0.425,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0.065,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.736,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.011</w:t>
      </w:r>
      <w:r w:rsidR="00C07953" w:rsidRPr="00DC6265">
        <w:rPr>
          <w:color w:val="000000" w:themeColor="text1"/>
        </w:rPr>
        <w:t>.</w:t>
      </w:r>
      <w:r w:rsidR="00A6003F" w:rsidRPr="00DC6265">
        <w:rPr>
          <w:color w:val="000000" w:themeColor="text1"/>
        </w:rPr>
        <w:t xml:space="preserve"> </w:t>
      </w:r>
      <w:r w:rsidR="00273113" w:rsidRPr="00DC6265">
        <w:rPr>
          <w:color w:val="000000" w:themeColor="text1"/>
        </w:rPr>
        <w:t xml:space="preserve">In addition, no significant effects emerged for the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ound </w:t>
      </w:r>
      <w:r w:rsidR="00E62CF7" w:rsidRPr="00DC6265">
        <w:rPr>
          <w:color w:val="000000" w:themeColor="text1"/>
        </w:rPr>
        <w:t>c</w:t>
      </w:r>
      <w:r w:rsidR="00A6003F" w:rsidRPr="00DC6265">
        <w:rPr>
          <w:color w:val="000000" w:themeColor="text1"/>
        </w:rPr>
        <w:t xml:space="preserve">ondition × </w:t>
      </w:r>
      <w:r w:rsidR="00E62CF7" w:rsidRPr="00DC6265">
        <w:rPr>
          <w:color w:val="000000" w:themeColor="text1"/>
        </w:rPr>
        <w:t>o</w:t>
      </w:r>
      <w:r w:rsidR="00A6003F" w:rsidRPr="00DC6265">
        <w:rPr>
          <w:color w:val="000000" w:themeColor="text1"/>
        </w:rPr>
        <w:t xml:space="preserve">rganisation interaction, </w:t>
      </w:r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 xml:space="preserve">(2, 224) = 1.813,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0.009,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.166,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.016, </w:t>
      </w:r>
      <w:r w:rsidR="00273113" w:rsidRPr="00DC6265">
        <w:rPr>
          <w:color w:val="000000" w:themeColor="text1"/>
        </w:rPr>
        <w:t xml:space="preserve">the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ound </w:t>
      </w:r>
      <w:r w:rsidR="00E62CF7" w:rsidRPr="00DC6265">
        <w:rPr>
          <w:color w:val="000000" w:themeColor="text1"/>
        </w:rPr>
        <w:t>c</w:t>
      </w:r>
      <w:r w:rsidR="00A6003F" w:rsidRPr="00DC6265">
        <w:rPr>
          <w:color w:val="000000" w:themeColor="text1"/>
        </w:rPr>
        <w:t xml:space="preserve">ondition × </w:t>
      </w:r>
      <w:r w:rsidR="00E62CF7" w:rsidRPr="00DC6265">
        <w:rPr>
          <w:color w:val="000000" w:themeColor="text1"/>
        </w:rPr>
        <w:t>i</w:t>
      </w:r>
      <w:r w:rsidR="00A6003F" w:rsidRPr="00DC6265">
        <w:rPr>
          <w:color w:val="000000" w:themeColor="text1"/>
        </w:rPr>
        <w:t xml:space="preserve">gnored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et interaction, </w:t>
      </w:r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 xml:space="preserve">(6, 224) = 1.441,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0.009,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.202,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.037, or </w:t>
      </w:r>
      <w:r w:rsidR="00273113" w:rsidRPr="00DC6265">
        <w:rPr>
          <w:color w:val="000000" w:themeColor="text1"/>
        </w:rPr>
        <w:t xml:space="preserve">the </w:t>
      </w:r>
      <w:r w:rsidR="00E62CF7" w:rsidRPr="00DC6265">
        <w:rPr>
          <w:color w:val="000000" w:themeColor="text1"/>
        </w:rPr>
        <w:t>o</w:t>
      </w:r>
      <w:r w:rsidR="00A6003F" w:rsidRPr="00DC6265">
        <w:rPr>
          <w:color w:val="000000" w:themeColor="text1"/>
        </w:rPr>
        <w:t xml:space="preserve">rganisation × </w:t>
      </w:r>
      <w:r w:rsidR="00E62CF7" w:rsidRPr="00DC6265">
        <w:rPr>
          <w:color w:val="000000" w:themeColor="text1"/>
        </w:rPr>
        <w:t>i</w:t>
      </w:r>
      <w:r w:rsidR="00A6003F" w:rsidRPr="00DC6265">
        <w:rPr>
          <w:color w:val="000000" w:themeColor="text1"/>
        </w:rPr>
        <w:t xml:space="preserve">gnored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et interaction, </w:t>
      </w:r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 xml:space="preserve">(3, 112) = 0.743,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0.065,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.529,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.020. Further, the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ound </w:t>
      </w:r>
      <w:r w:rsidR="00E62CF7" w:rsidRPr="00DC6265">
        <w:rPr>
          <w:color w:val="000000" w:themeColor="text1"/>
        </w:rPr>
        <w:t>c</w:t>
      </w:r>
      <w:r w:rsidR="00A6003F" w:rsidRPr="00DC6265">
        <w:rPr>
          <w:color w:val="000000" w:themeColor="text1"/>
        </w:rPr>
        <w:t xml:space="preserve">ondition × </w:t>
      </w:r>
      <w:r w:rsidR="00E62CF7" w:rsidRPr="00DC6265">
        <w:rPr>
          <w:color w:val="000000" w:themeColor="text1"/>
        </w:rPr>
        <w:t>o</w:t>
      </w:r>
      <w:r w:rsidR="00A6003F" w:rsidRPr="00DC6265">
        <w:rPr>
          <w:color w:val="000000" w:themeColor="text1"/>
        </w:rPr>
        <w:t xml:space="preserve">rganisation × </w:t>
      </w:r>
      <w:r w:rsidR="00E62CF7" w:rsidRPr="00DC6265">
        <w:rPr>
          <w:color w:val="000000" w:themeColor="text1"/>
        </w:rPr>
        <w:t>i</w:t>
      </w:r>
      <w:r w:rsidR="00A6003F" w:rsidRPr="00DC6265">
        <w:rPr>
          <w:color w:val="000000" w:themeColor="text1"/>
        </w:rPr>
        <w:t xml:space="preserve">gnored </w:t>
      </w:r>
      <w:r w:rsidR="00E62CF7" w:rsidRPr="00DC6265">
        <w:rPr>
          <w:color w:val="000000" w:themeColor="text1"/>
        </w:rPr>
        <w:t>s</w:t>
      </w:r>
      <w:r w:rsidR="00A6003F" w:rsidRPr="00DC6265">
        <w:rPr>
          <w:color w:val="000000" w:themeColor="text1"/>
        </w:rPr>
        <w:t xml:space="preserve">et interaction missed conventional levels of significance, </w:t>
      </w:r>
      <w:proofErr w:type="gramStart"/>
      <w:r w:rsidR="00A6003F" w:rsidRPr="00DC6265">
        <w:rPr>
          <w:i/>
          <w:iCs/>
          <w:color w:val="000000" w:themeColor="text1"/>
        </w:rPr>
        <w:t>F</w:t>
      </w:r>
      <w:r w:rsidR="00A6003F" w:rsidRPr="00DC6265">
        <w:rPr>
          <w:color w:val="000000" w:themeColor="text1"/>
        </w:rPr>
        <w:t>(</w:t>
      </w:r>
      <w:proofErr w:type="gramEnd"/>
      <w:r w:rsidR="00A6003F" w:rsidRPr="00DC6265">
        <w:rPr>
          <w:color w:val="000000" w:themeColor="text1"/>
        </w:rPr>
        <w:t xml:space="preserve">6, 224) = 2.080, </w:t>
      </w:r>
      <w:r w:rsidR="00A6003F" w:rsidRPr="00DC6265">
        <w:rPr>
          <w:i/>
          <w:iCs/>
          <w:color w:val="000000" w:themeColor="text1"/>
        </w:rPr>
        <w:t>MSE</w:t>
      </w:r>
      <w:r w:rsidR="00A6003F" w:rsidRPr="00DC6265">
        <w:rPr>
          <w:color w:val="000000" w:themeColor="text1"/>
        </w:rPr>
        <w:t xml:space="preserve"> = 0.009, </w:t>
      </w:r>
      <w:r w:rsidR="00A6003F" w:rsidRPr="00DC6265">
        <w:rPr>
          <w:i/>
          <w:iCs/>
          <w:color w:val="000000" w:themeColor="text1"/>
        </w:rPr>
        <w:t>p</w:t>
      </w:r>
      <w:r w:rsidR="00A6003F" w:rsidRPr="00DC6265">
        <w:rPr>
          <w:color w:val="000000" w:themeColor="text1"/>
        </w:rPr>
        <w:t xml:space="preserve"> = .057, </w:t>
      </w:r>
      <w:r w:rsidR="00A6003F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A6003F" w:rsidRPr="00DC6265">
        <w:rPr>
          <w:color w:val="000000" w:themeColor="text1"/>
          <w:vertAlign w:val="subscript"/>
          <w:lang w:val="en-US"/>
        </w:rPr>
        <w:t>p</w:t>
      </w:r>
      <w:r w:rsidR="00A6003F" w:rsidRPr="00DC6265">
        <w:rPr>
          <w:color w:val="000000" w:themeColor="text1"/>
          <w:vertAlign w:val="superscript"/>
          <w:lang w:val="en-US"/>
        </w:rPr>
        <w:t>2</w:t>
      </w:r>
      <w:r w:rsidR="00A6003F" w:rsidRPr="00DC6265">
        <w:rPr>
          <w:color w:val="000000" w:themeColor="text1"/>
        </w:rPr>
        <w:t xml:space="preserve"> = .053.</w:t>
      </w:r>
      <w:r w:rsidR="00176650" w:rsidRPr="00DC6265">
        <w:rPr>
          <w:color w:val="000000" w:themeColor="text1"/>
        </w:rPr>
        <w:t xml:space="preserve"> Pairwise comparisons for the main effect of </w:t>
      </w:r>
      <w:r w:rsidR="00E62CF7" w:rsidRPr="00DC6265">
        <w:rPr>
          <w:color w:val="000000" w:themeColor="text1"/>
        </w:rPr>
        <w:t>s</w:t>
      </w:r>
      <w:r w:rsidR="00176650" w:rsidRPr="00DC6265">
        <w:rPr>
          <w:color w:val="000000" w:themeColor="text1"/>
        </w:rPr>
        <w:t xml:space="preserve">ound </w:t>
      </w:r>
      <w:r w:rsidR="00E62CF7" w:rsidRPr="00DC6265">
        <w:rPr>
          <w:color w:val="000000" w:themeColor="text1"/>
        </w:rPr>
        <w:t>c</w:t>
      </w:r>
      <w:r w:rsidR="00176650" w:rsidRPr="00DC6265">
        <w:rPr>
          <w:color w:val="000000" w:themeColor="text1"/>
        </w:rPr>
        <w:t xml:space="preserve">ondition revealed a significant difference between </w:t>
      </w:r>
      <w:r w:rsidR="006B38A1" w:rsidRPr="00DC6265">
        <w:rPr>
          <w:color w:val="000000" w:themeColor="text1"/>
        </w:rPr>
        <w:t xml:space="preserve">quiet </w:t>
      </w:r>
      <w:r w:rsidR="00176650" w:rsidRPr="00DC6265">
        <w:rPr>
          <w:color w:val="000000" w:themeColor="text1"/>
        </w:rPr>
        <w:t xml:space="preserve">and </w:t>
      </w:r>
      <w:r w:rsidR="006B38A1" w:rsidRPr="00DC6265">
        <w:rPr>
          <w:color w:val="000000" w:themeColor="text1"/>
        </w:rPr>
        <w:t>m</w:t>
      </w:r>
      <w:r w:rsidR="00DB49B8" w:rsidRPr="00DC6265">
        <w:rPr>
          <w:color w:val="000000" w:themeColor="text1"/>
        </w:rPr>
        <w:t xml:space="preserve">eaningless </w:t>
      </w:r>
      <w:r w:rsidR="00176650" w:rsidRPr="00DC6265">
        <w:rPr>
          <w:color w:val="000000" w:themeColor="text1"/>
        </w:rPr>
        <w:t xml:space="preserve">speech, </w:t>
      </w:r>
      <w:r w:rsidR="00176650" w:rsidRPr="00DC6265">
        <w:rPr>
          <w:i/>
          <w:iCs/>
          <w:color w:val="000000" w:themeColor="text1"/>
        </w:rPr>
        <w:t>p</w:t>
      </w:r>
      <w:r w:rsidR="00176650" w:rsidRPr="00DC6265">
        <w:rPr>
          <w:color w:val="000000" w:themeColor="text1"/>
        </w:rPr>
        <w:t xml:space="preserve"> &lt; .001, </w:t>
      </w:r>
      <w:r w:rsidR="00176650" w:rsidRPr="00DC6265">
        <w:rPr>
          <w:color w:val="000000" w:themeColor="text1"/>
          <w:lang w:val="en-US"/>
        </w:rPr>
        <w:t xml:space="preserve">95% CI </w:t>
      </w:r>
      <w:r w:rsidR="00176650" w:rsidRPr="00DC6265">
        <w:rPr>
          <w:color w:val="000000" w:themeColor="text1"/>
        </w:rPr>
        <w:t xml:space="preserve">[.149, .195], and between </w:t>
      </w:r>
      <w:r w:rsidR="006B38A1" w:rsidRPr="00DC6265">
        <w:rPr>
          <w:color w:val="000000" w:themeColor="text1"/>
        </w:rPr>
        <w:t xml:space="preserve">quiet </w:t>
      </w:r>
      <w:r w:rsidR="00176650" w:rsidRPr="00DC6265">
        <w:rPr>
          <w:color w:val="000000" w:themeColor="text1"/>
        </w:rPr>
        <w:t xml:space="preserve">and </w:t>
      </w:r>
      <w:r w:rsidR="006B38A1" w:rsidRPr="00DC6265">
        <w:rPr>
          <w:color w:val="000000" w:themeColor="text1"/>
        </w:rPr>
        <w:t>m</w:t>
      </w:r>
      <w:r w:rsidR="00DB49B8" w:rsidRPr="00DC6265">
        <w:rPr>
          <w:color w:val="000000" w:themeColor="text1"/>
        </w:rPr>
        <w:t xml:space="preserve">eaningful </w:t>
      </w:r>
      <w:r w:rsidR="00176650" w:rsidRPr="00DC6265">
        <w:rPr>
          <w:color w:val="000000" w:themeColor="text1"/>
        </w:rPr>
        <w:t xml:space="preserve">speech, </w:t>
      </w:r>
      <w:r w:rsidR="00176650" w:rsidRPr="00DC6265">
        <w:rPr>
          <w:i/>
          <w:iCs/>
          <w:color w:val="000000" w:themeColor="text1"/>
        </w:rPr>
        <w:t>p</w:t>
      </w:r>
      <w:r w:rsidR="00176650" w:rsidRPr="00DC6265">
        <w:rPr>
          <w:color w:val="000000" w:themeColor="text1"/>
        </w:rPr>
        <w:t xml:space="preserve"> &lt; .001, </w:t>
      </w:r>
      <w:r w:rsidR="00176650" w:rsidRPr="00DC6265">
        <w:rPr>
          <w:color w:val="000000" w:themeColor="text1"/>
          <w:lang w:val="en-US"/>
        </w:rPr>
        <w:t xml:space="preserve">95% CI </w:t>
      </w:r>
      <w:r w:rsidR="00176650" w:rsidRPr="00DC6265">
        <w:rPr>
          <w:color w:val="000000" w:themeColor="text1"/>
        </w:rPr>
        <w:t xml:space="preserve">[.148, .200], but not between </w:t>
      </w:r>
      <w:r w:rsidR="006B38A1" w:rsidRPr="00DC6265">
        <w:rPr>
          <w:color w:val="000000" w:themeColor="text1"/>
        </w:rPr>
        <w:t>m</w:t>
      </w:r>
      <w:r w:rsidR="000D22BC" w:rsidRPr="00DC6265">
        <w:rPr>
          <w:color w:val="000000" w:themeColor="text1"/>
        </w:rPr>
        <w:t xml:space="preserve">eaningless </w:t>
      </w:r>
      <w:r w:rsidR="00176650" w:rsidRPr="00DC6265">
        <w:rPr>
          <w:color w:val="000000" w:themeColor="text1"/>
        </w:rPr>
        <w:t xml:space="preserve">and </w:t>
      </w:r>
      <w:r w:rsidR="006B38A1" w:rsidRPr="00DC6265">
        <w:rPr>
          <w:color w:val="000000" w:themeColor="text1"/>
        </w:rPr>
        <w:t>m</w:t>
      </w:r>
      <w:r w:rsidR="000D22BC" w:rsidRPr="00DC6265">
        <w:rPr>
          <w:color w:val="000000" w:themeColor="text1"/>
        </w:rPr>
        <w:t xml:space="preserve">eaningful </w:t>
      </w:r>
      <w:r w:rsidR="00176650" w:rsidRPr="00DC6265">
        <w:rPr>
          <w:color w:val="000000" w:themeColor="text1"/>
        </w:rPr>
        <w:t xml:space="preserve">speech, </w:t>
      </w:r>
      <w:r w:rsidR="00176650" w:rsidRPr="00DC6265">
        <w:rPr>
          <w:i/>
          <w:iCs/>
          <w:color w:val="000000" w:themeColor="text1"/>
        </w:rPr>
        <w:t>p</w:t>
      </w:r>
      <w:r w:rsidR="00176650" w:rsidRPr="00DC6265">
        <w:rPr>
          <w:color w:val="000000" w:themeColor="text1"/>
        </w:rPr>
        <w:t xml:space="preserve"> = .875, </w:t>
      </w:r>
      <w:r w:rsidR="00176650" w:rsidRPr="00DC6265">
        <w:rPr>
          <w:color w:val="000000" w:themeColor="text1"/>
          <w:lang w:val="en-US"/>
        </w:rPr>
        <w:t xml:space="preserve">95% CI </w:t>
      </w:r>
      <w:r w:rsidR="00176650" w:rsidRPr="00DC6265">
        <w:rPr>
          <w:color w:val="000000" w:themeColor="text1"/>
        </w:rPr>
        <w:t>[-.021, .025].</w:t>
      </w:r>
    </w:p>
    <w:p w14:paraId="7475C21F" w14:textId="77777777" w:rsidR="00DC6265" w:rsidRPr="00DC6265" w:rsidRDefault="00DC6265" w:rsidP="002022CB">
      <w:pPr>
        <w:spacing w:line="480" w:lineRule="auto"/>
        <w:ind w:firstLine="720"/>
        <w:rPr>
          <w:color w:val="000000" w:themeColor="text1"/>
        </w:rPr>
      </w:pPr>
    </w:p>
    <w:p w14:paraId="465D4ABA" w14:textId="4048FB59" w:rsidR="00DC6265" w:rsidRPr="00DC6265" w:rsidRDefault="00DC6265" w:rsidP="00DC6265">
      <w:pPr>
        <w:spacing w:line="480" w:lineRule="auto"/>
        <w:rPr>
          <w:color w:val="000000" w:themeColor="text1"/>
          <w:u w:val="single"/>
        </w:rPr>
      </w:pPr>
      <w:r w:rsidRPr="00DC6265">
        <w:rPr>
          <w:color w:val="000000" w:themeColor="text1"/>
          <w:u w:val="single"/>
        </w:rPr>
        <w:t xml:space="preserve">Supplementary Analysis </w:t>
      </w:r>
      <w:r>
        <w:rPr>
          <w:color w:val="000000" w:themeColor="text1"/>
          <w:u w:val="single"/>
        </w:rPr>
        <w:t>2</w:t>
      </w:r>
      <w:r w:rsidRPr="00DC6265">
        <w:rPr>
          <w:color w:val="000000" w:themeColor="text1"/>
          <w:u w:val="single"/>
        </w:rPr>
        <w:t xml:space="preserve">: </w:t>
      </w:r>
      <w:r>
        <w:rPr>
          <w:color w:val="000000" w:themeColor="text1"/>
          <w:u w:val="single"/>
        </w:rPr>
        <w:t>Comparison of Production Frequencies of High Output-Dominant Category-Exemplars and Category-Exemplars of Different Versions and Sets (Phase 2)</w:t>
      </w:r>
    </w:p>
    <w:p w14:paraId="05B76BF2" w14:textId="712FE949" w:rsidR="001D4E65" w:rsidRPr="002E70DA" w:rsidRDefault="00812A56" w:rsidP="002E70DA">
      <w:pPr>
        <w:spacing w:line="480" w:lineRule="auto"/>
        <w:ind w:firstLine="720"/>
        <w:rPr>
          <w:color w:val="000000" w:themeColor="text1"/>
          <w:vertAlign w:val="superscript"/>
        </w:rPr>
      </w:pPr>
      <w:r w:rsidRPr="002E70DA">
        <w:rPr>
          <w:color w:val="000000" w:themeColor="text1"/>
        </w:rPr>
        <w:t xml:space="preserve">For the category-exemplar production trials for which participants had been primed with a set of category-exemplars for the target category, we </w:t>
      </w:r>
      <w:r w:rsidR="00DC6265" w:rsidRPr="002E70DA">
        <w:rPr>
          <w:color w:val="000000" w:themeColor="text1"/>
        </w:rPr>
        <w:t xml:space="preserve">also </w:t>
      </w:r>
      <w:r w:rsidRPr="002E70DA">
        <w:rPr>
          <w:color w:val="000000" w:themeColor="text1"/>
        </w:rPr>
        <w:t xml:space="preserve">compared the mean production frequencies for the highest output-dominance exemplars with the mean production frequencies for items assigned to </w:t>
      </w:r>
      <w:r w:rsidR="00DD38ED" w:rsidRPr="002E70DA">
        <w:rPr>
          <w:color w:val="000000" w:themeColor="text1"/>
        </w:rPr>
        <w:t>V</w:t>
      </w:r>
      <w:r w:rsidRPr="002E70DA">
        <w:rPr>
          <w:color w:val="000000" w:themeColor="text1"/>
        </w:rPr>
        <w:t xml:space="preserve">ersion A and </w:t>
      </w:r>
      <w:r w:rsidR="00DD38ED" w:rsidRPr="002E70DA">
        <w:rPr>
          <w:color w:val="000000" w:themeColor="text1"/>
        </w:rPr>
        <w:t xml:space="preserve">Version </w:t>
      </w:r>
      <w:r w:rsidRPr="002E70DA">
        <w:rPr>
          <w:color w:val="000000" w:themeColor="text1"/>
        </w:rPr>
        <w:t xml:space="preserve">B of each set. We collapsed the </w:t>
      </w:r>
      <w:r w:rsidRPr="002E70DA">
        <w:rPr>
          <w:color w:val="000000" w:themeColor="text1"/>
        </w:rPr>
        <w:lastRenderedPageBreak/>
        <w:t xml:space="preserve">mean production scores across </w:t>
      </w:r>
      <w:r w:rsidR="005A3C11" w:rsidRPr="002E70DA">
        <w:rPr>
          <w:color w:val="000000" w:themeColor="text1"/>
        </w:rPr>
        <w:t>o</w:t>
      </w:r>
      <w:r w:rsidRPr="002E70DA">
        <w:rPr>
          <w:color w:val="000000" w:themeColor="text1"/>
        </w:rPr>
        <w:t xml:space="preserve">rganisation and </w:t>
      </w:r>
      <w:r w:rsidR="005A3C11" w:rsidRPr="002E70DA">
        <w:rPr>
          <w:color w:val="000000" w:themeColor="text1"/>
        </w:rPr>
        <w:t>p</w:t>
      </w:r>
      <w:r w:rsidRPr="002E70DA">
        <w:rPr>
          <w:color w:val="000000" w:themeColor="text1"/>
        </w:rPr>
        <w:t xml:space="preserve">riming </w:t>
      </w:r>
      <w:r w:rsidR="005A3C11" w:rsidRPr="002E70DA">
        <w:rPr>
          <w:color w:val="000000" w:themeColor="text1"/>
        </w:rPr>
        <w:t>status</w:t>
      </w:r>
      <w:r w:rsidRPr="002E70DA">
        <w:rPr>
          <w:color w:val="000000" w:themeColor="text1"/>
        </w:rPr>
        <w:t>. For Set 1</w:t>
      </w:r>
      <w:r w:rsidR="005A3C11" w:rsidRPr="002E70DA">
        <w:rPr>
          <w:color w:val="000000" w:themeColor="text1"/>
        </w:rPr>
        <w:t>,</w:t>
      </w:r>
      <w:r w:rsidRPr="002E70DA">
        <w:rPr>
          <w:color w:val="000000" w:themeColor="text1"/>
        </w:rPr>
        <w:t xml:space="preserve"> the mean production frequency of the high output</w:t>
      </w:r>
      <w:r w:rsidR="005A3C11" w:rsidRPr="002E70DA">
        <w:rPr>
          <w:color w:val="000000" w:themeColor="text1"/>
        </w:rPr>
        <w:t>-</w:t>
      </w:r>
      <w:r w:rsidRPr="002E70DA">
        <w:rPr>
          <w:color w:val="000000" w:themeColor="text1"/>
        </w:rPr>
        <w:t>dominant items was .522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.0124) and for Set 2 it was .529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.011). The mean production frequency of category-exemplars from Set 1A was .14</w:t>
      </w:r>
      <w:r w:rsidR="00646172" w:rsidRPr="002E70DA">
        <w:rPr>
          <w:color w:val="000000" w:themeColor="text1"/>
        </w:rPr>
        <w:t>1</w:t>
      </w:r>
      <w:r w:rsidRPr="002E70DA">
        <w:rPr>
          <w:color w:val="000000" w:themeColor="text1"/>
        </w:rPr>
        <w:t xml:space="preserve">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.007) and for Set 1B it was .143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.011)</w:t>
      </w:r>
      <w:r w:rsidR="001D4E65" w:rsidRPr="002E70DA">
        <w:rPr>
          <w:color w:val="000000" w:themeColor="text1"/>
        </w:rPr>
        <w:t xml:space="preserve"> and they were both significantly lower than the production frequencies for the Set 1 high output-dominant responses (Set 1A, </w:t>
      </w:r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>(59) = 25.</w:t>
      </w:r>
      <w:r w:rsidR="00646172" w:rsidRPr="002E70DA">
        <w:rPr>
          <w:color w:val="000000" w:themeColor="text1"/>
        </w:rPr>
        <w:t>663</w:t>
      </w:r>
      <w:r w:rsidR="001D4E65" w:rsidRPr="002E70DA">
        <w:rPr>
          <w:color w:val="000000" w:themeColor="text1"/>
        </w:rPr>
        <w:t xml:space="preserve">, </w:t>
      </w:r>
      <w:r w:rsidR="001D4E65" w:rsidRPr="002E70DA">
        <w:rPr>
          <w:i/>
          <w:iCs/>
          <w:color w:val="000000" w:themeColor="text1"/>
        </w:rPr>
        <w:t>p</w:t>
      </w:r>
      <w:r w:rsidR="001D4E65" w:rsidRPr="002E70DA">
        <w:rPr>
          <w:color w:val="000000" w:themeColor="text1"/>
        </w:rPr>
        <w:t xml:space="preserve"> &lt; .001,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</w:t>
      </w:r>
      <w:r w:rsidR="00646172" w:rsidRPr="002E70DA">
        <w:rPr>
          <w:color w:val="000000" w:themeColor="text1"/>
        </w:rPr>
        <w:t>3.313</w:t>
      </w:r>
      <w:r w:rsidR="001D4E65" w:rsidRPr="002E70DA">
        <w:rPr>
          <w:color w:val="000000" w:themeColor="text1"/>
        </w:rPr>
        <w:t>, BF</w:t>
      </w:r>
      <w:r w:rsidR="001D4E65" w:rsidRPr="002E70DA">
        <w:rPr>
          <w:color w:val="000000" w:themeColor="text1"/>
          <w:vertAlign w:val="subscript"/>
        </w:rPr>
        <w:t>1</w:t>
      </w:r>
      <w:r w:rsidR="002E70DA" w:rsidRPr="002E70DA">
        <w:rPr>
          <w:color w:val="000000" w:themeColor="text1"/>
          <w:vertAlign w:val="subscript"/>
        </w:rPr>
        <w:t>0</w:t>
      </w:r>
      <w:r w:rsidR="001D4E65" w:rsidRPr="002E70DA">
        <w:rPr>
          <w:color w:val="000000" w:themeColor="text1"/>
        </w:rPr>
        <w:t xml:space="preserve"> = </w:t>
      </w:r>
      <w:r w:rsidR="002E70DA" w:rsidRPr="002E70DA">
        <w:rPr>
          <w:color w:val="000000" w:themeColor="text1"/>
        </w:rPr>
        <w:t xml:space="preserve">2.300 </w:t>
      </w:r>
      <w:r w:rsidR="002E70DA" w:rsidRPr="00DC6265">
        <w:rPr>
          <w:color w:val="000000" w:themeColor="text1"/>
        </w:rPr>
        <w:t>×</w:t>
      </w:r>
      <w:r w:rsidR="002E70DA" w:rsidRPr="002E70DA">
        <w:rPr>
          <w:color w:val="000000" w:themeColor="text1"/>
        </w:rPr>
        <w:t xml:space="preserve"> 10</w:t>
      </w:r>
      <w:r w:rsidR="002E70DA" w:rsidRPr="002E70DA">
        <w:rPr>
          <w:color w:val="000000" w:themeColor="text1"/>
          <w:vertAlign w:val="superscript"/>
        </w:rPr>
        <w:t>+30</w:t>
      </w:r>
      <w:r w:rsidR="001D4E65" w:rsidRPr="002E70DA">
        <w:rPr>
          <w:color w:val="000000" w:themeColor="text1"/>
        </w:rPr>
        <w:t xml:space="preserve">; Set 1B, </w:t>
      </w:r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 xml:space="preserve">(59) = 19.116, </w:t>
      </w:r>
      <w:r w:rsidR="001D4E65" w:rsidRPr="002E70DA">
        <w:rPr>
          <w:i/>
          <w:iCs/>
          <w:color w:val="000000" w:themeColor="text1"/>
        </w:rPr>
        <w:t>p</w:t>
      </w:r>
      <w:r w:rsidR="001D4E65" w:rsidRPr="002E70DA">
        <w:rPr>
          <w:color w:val="000000" w:themeColor="text1"/>
        </w:rPr>
        <w:t xml:space="preserve"> &lt; .001,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2.468, BF</w:t>
      </w:r>
      <w:r w:rsidR="001D4E65" w:rsidRPr="002E70DA">
        <w:rPr>
          <w:color w:val="000000" w:themeColor="text1"/>
          <w:vertAlign w:val="subscript"/>
        </w:rPr>
        <w:t>1</w:t>
      </w:r>
      <w:r w:rsidR="002E70DA" w:rsidRPr="002E70DA">
        <w:rPr>
          <w:color w:val="000000" w:themeColor="text1"/>
          <w:vertAlign w:val="subscript"/>
        </w:rPr>
        <w:t>0</w:t>
      </w:r>
      <w:r w:rsidR="001D4E65" w:rsidRPr="002E70DA">
        <w:rPr>
          <w:color w:val="000000" w:themeColor="text1"/>
        </w:rPr>
        <w:t xml:space="preserve"> = </w:t>
      </w:r>
      <w:r w:rsidR="002E70DA" w:rsidRPr="002E70DA">
        <w:rPr>
          <w:color w:val="000000" w:themeColor="text1"/>
        </w:rPr>
        <w:t>5</w:t>
      </w:r>
      <w:r w:rsidR="001D4E65" w:rsidRPr="002E70DA">
        <w:rPr>
          <w:color w:val="000000" w:themeColor="text1"/>
        </w:rPr>
        <w:t>.</w:t>
      </w:r>
      <w:r w:rsidR="002E70DA" w:rsidRPr="002E70DA">
        <w:rPr>
          <w:color w:val="000000" w:themeColor="text1"/>
        </w:rPr>
        <w:t xml:space="preserve">756 </w:t>
      </w:r>
      <w:r w:rsidR="002E70DA" w:rsidRPr="00DC6265">
        <w:rPr>
          <w:color w:val="000000" w:themeColor="text1"/>
        </w:rPr>
        <w:t>×</w:t>
      </w:r>
      <w:r w:rsidR="002E70DA" w:rsidRPr="002E70DA">
        <w:rPr>
          <w:color w:val="000000" w:themeColor="text1"/>
        </w:rPr>
        <w:t xml:space="preserve"> 10</w:t>
      </w:r>
      <w:r w:rsidR="002E70DA" w:rsidRPr="002E70DA">
        <w:rPr>
          <w:color w:val="000000" w:themeColor="text1"/>
          <w:vertAlign w:val="superscript"/>
        </w:rPr>
        <w:t>+23</w:t>
      </w:r>
      <w:r w:rsidR="001D4E65" w:rsidRPr="002E70DA">
        <w:rPr>
          <w:color w:val="000000" w:themeColor="text1"/>
        </w:rPr>
        <w:t xml:space="preserve">). </w:t>
      </w:r>
      <w:r w:rsidRPr="002E70DA">
        <w:rPr>
          <w:color w:val="000000" w:themeColor="text1"/>
        </w:rPr>
        <w:t>The mean production frequency of category-exemplars from Set 2A was .165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.011) and for Set 2B it was .133 (</w:t>
      </w:r>
      <w:r w:rsidRPr="002E70DA">
        <w:rPr>
          <w:i/>
          <w:iCs/>
          <w:color w:val="000000" w:themeColor="text1"/>
        </w:rPr>
        <w:t>SE</w:t>
      </w:r>
      <w:r w:rsidRPr="002E70DA">
        <w:rPr>
          <w:color w:val="000000" w:themeColor="text1"/>
        </w:rPr>
        <w:t xml:space="preserve"> = .008)</w:t>
      </w:r>
      <w:r w:rsidR="00325C35" w:rsidRPr="002E70DA">
        <w:rPr>
          <w:color w:val="000000" w:themeColor="text1"/>
        </w:rPr>
        <w:t>,</w:t>
      </w:r>
      <w:r w:rsidR="001D4E65" w:rsidRPr="002E70DA">
        <w:rPr>
          <w:color w:val="000000" w:themeColor="text1"/>
        </w:rPr>
        <w:t xml:space="preserve"> which was significantly less than the production frequency of high output-dominant responses from Set 2 (Set 2A, </w:t>
      </w:r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 xml:space="preserve">(59) = 21.395, </w:t>
      </w:r>
      <w:r w:rsidR="001D4E65" w:rsidRPr="002E70DA">
        <w:rPr>
          <w:i/>
          <w:iCs/>
          <w:color w:val="000000" w:themeColor="text1"/>
        </w:rPr>
        <w:t>p</w:t>
      </w:r>
      <w:r w:rsidR="001D4E65" w:rsidRPr="002E70DA">
        <w:rPr>
          <w:color w:val="000000" w:themeColor="text1"/>
        </w:rPr>
        <w:t xml:space="preserve"> &lt; .001,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2.762, BF</w:t>
      </w:r>
      <w:r w:rsidR="001D4E65" w:rsidRPr="002E70DA">
        <w:rPr>
          <w:color w:val="000000" w:themeColor="text1"/>
          <w:vertAlign w:val="subscript"/>
        </w:rPr>
        <w:t>1</w:t>
      </w:r>
      <w:r w:rsidR="002E70DA" w:rsidRPr="002E70DA">
        <w:rPr>
          <w:color w:val="000000" w:themeColor="text1"/>
          <w:vertAlign w:val="subscript"/>
        </w:rPr>
        <w:t>0</w:t>
      </w:r>
      <w:r w:rsidR="001D4E65" w:rsidRPr="002E70DA">
        <w:rPr>
          <w:color w:val="000000" w:themeColor="text1"/>
        </w:rPr>
        <w:t xml:space="preserve"> = </w:t>
      </w:r>
      <w:r w:rsidR="002E70DA" w:rsidRPr="002E70DA">
        <w:rPr>
          <w:color w:val="000000" w:themeColor="text1"/>
        </w:rPr>
        <w:t>1</w:t>
      </w:r>
      <w:r w:rsidR="001D4E65" w:rsidRPr="002E70DA">
        <w:rPr>
          <w:color w:val="000000" w:themeColor="text1"/>
        </w:rPr>
        <w:t>.</w:t>
      </w:r>
      <w:r w:rsidR="002E70DA" w:rsidRPr="002E70DA">
        <w:rPr>
          <w:color w:val="000000" w:themeColor="text1"/>
        </w:rPr>
        <w:t xml:space="preserve">713 </w:t>
      </w:r>
      <w:r w:rsidR="002E70DA" w:rsidRPr="00DC6265">
        <w:rPr>
          <w:color w:val="000000" w:themeColor="text1"/>
        </w:rPr>
        <w:t>×</w:t>
      </w:r>
      <w:r w:rsidR="002E70DA" w:rsidRPr="002E70DA">
        <w:rPr>
          <w:color w:val="000000" w:themeColor="text1"/>
        </w:rPr>
        <w:t xml:space="preserve"> 10</w:t>
      </w:r>
      <w:r w:rsidR="002E70DA" w:rsidRPr="002E70DA">
        <w:rPr>
          <w:color w:val="000000" w:themeColor="text1"/>
          <w:vertAlign w:val="superscript"/>
        </w:rPr>
        <w:t>+26</w:t>
      </w:r>
      <w:r w:rsidR="001D4E65" w:rsidRPr="002E70DA">
        <w:rPr>
          <w:color w:val="000000" w:themeColor="text1"/>
        </w:rPr>
        <w:t xml:space="preserve">; Set </w:t>
      </w:r>
      <w:r w:rsidR="00646172" w:rsidRPr="002E70DA">
        <w:rPr>
          <w:color w:val="000000" w:themeColor="text1"/>
        </w:rPr>
        <w:t>2</w:t>
      </w:r>
      <w:r w:rsidR="001D4E65" w:rsidRPr="002E70DA">
        <w:rPr>
          <w:color w:val="000000" w:themeColor="text1"/>
        </w:rPr>
        <w:t xml:space="preserve">B, </w:t>
      </w:r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 xml:space="preserve">(59) = 27.946, </w:t>
      </w:r>
      <w:r w:rsidR="001D4E65" w:rsidRPr="002E70DA">
        <w:rPr>
          <w:i/>
          <w:iCs/>
          <w:color w:val="000000" w:themeColor="text1"/>
        </w:rPr>
        <w:t>p</w:t>
      </w:r>
      <w:r w:rsidR="001D4E65" w:rsidRPr="002E70DA">
        <w:rPr>
          <w:color w:val="000000" w:themeColor="text1"/>
        </w:rPr>
        <w:t xml:space="preserve"> &lt; .001,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3.608, BF</w:t>
      </w:r>
      <w:r w:rsidR="001D4E65" w:rsidRPr="002E70DA">
        <w:rPr>
          <w:color w:val="000000" w:themeColor="text1"/>
          <w:vertAlign w:val="subscript"/>
        </w:rPr>
        <w:t>01</w:t>
      </w:r>
      <w:r w:rsidR="001D4E65" w:rsidRPr="002E70DA">
        <w:rPr>
          <w:color w:val="000000" w:themeColor="text1"/>
        </w:rPr>
        <w:t xml:space="preserve"> = </w:t>
      </w:r>
      <w:r w:rsidR="002E70DA" w:rsidRPr="002E70DA">
        <w:rPr>
          <w:color w:val="000000" w:themeColor="text1"/>
        </w:rPr>
        <w:t>2</w:t>
      </w:r>
      <w:r w:rsidR="001D4E65" w:rsidRPr="002E70DA">
        <w:rPr>
          <w:color w:val="000000" w:themeColor="text1"/>
        </w:rPr>
        <w:t>.</w:t>
      </w:r>
      <w:r w:rsidR="002E70DA" w:rsidRPr="002E70DA">
        <w:rPr>
          <w:color w:val="000000" w:themeColor="text1"/>
        </w:rPr>
        <w:t xml:space="preserve">198 </w:t>
      </w:r>
      <w:r w:rsidR="002E70DA" w:rsidRPr="00DC6265">
        <w:rPr>
          <w:color w:val="000000" w:themeColor="text1"/>
        </w:rPr>
        <w:t>×</w:t>
      </w:r>
      <w:r w:rsidR="002E70DA" w:rsidRPr="002E70DA">
        <w:rPr>
          <w:color w:val="000000" w:themeColor="text1"/>
        </w:rPr>
        <w:t xml:space="preserve"> 10</w:t>
      </w:r>
      <w:r w:rsidR="002E70DA" w:rsidRPr="002E70DA">
        <w:rPr>
          <w:color w:val="000000" w:themeColor="text1"/>
          <w:vertAlign w:val="superscript"/>
        </w:rPr>
        <w:t>+32</w:t>
      </w:r>
      <w:r w:rsidR="001D4E65" w:rsidRPr="002E70DA">
        <w:rPr>
          <w:color w:val="000000" w:themeColor="text1"/>
        </w:rPr>
        <w:t xml:space="preserve">). Further, the mean production frequency for Set 1A responses was not significantly different from that of Set 1B responses, </w:t>
      </w:r>
      <w:proofErr w:type="gramStart"/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>(</w:t>
      </w:r>
      <w:proofErr w:type="gramEnd"/>
      <w:r w:rsidR="001D4E65" w:rsidRPr="002E70DA">
        <w:rPr>
          <w:color w:val="000000" w:themeColor="text1"/>
        </w:rPr>
        <w:t>59) = 0.</w:t>
      </w:r>
      <w:r w:rsidR="00646172" w:rsidRPr="002E70DA">
        <w:rPr>
          <w:color w:val="000000" w:themeColor="text1"/>
        </w:rPr>
        <w:t>153</w:t>
      </w:r>
      <w:r w:rsidR="001D4E65" w:rsidRPr="002E70DA">
        <w:rPr>
          <w:color w:val="000000" w:themeColor="text1"/>
        </w:rPr>
        <w:t xml:space="preserve">, </w:t>
      </w:r>
      <w:r w:rsidR="001D4E65" w:rsidRPr="002E70DA">
        <w:rPr>
          <w:i/>
          <w:iCs/>
          <w:color w:val="000000" w:themeColor="text1"/>
        </w:rPr>
        <w:t xml:space="preserve">p </w:t>
      </w:r>
      <w:r w:rsidR="001D4E65" w:rsidRPr="002E70DA">
        <w:rPr>
          <w:color w:val="000000" w:themeColor="text1"/>
        </w:rPr>
        <w:t>= .</w:t>
      </w:r>
      <w:r w:rsidR="00646172" w:rsidRPr="002E70DA">
        <w:rPr>
          <w:color w:val="000000" w:themeColor="text1"/>
        </w:rPr>
        <w:t>879</w:t>
      </w:r>
      <w:r w:rsidR="001D4E65" w:rsidRPr="002E70DA">
        <w:rPr>
          <w:color w:val="000000" w:themeColor="text1"/>
        </w:rPr>
        <w:t xml:space="preserve">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</w:t>
      </w:r>
      <w:r w:rsidR="00646172" w:rsidRPr="002E70DA">
        <w:rPr>
          <w:color w:val="000000" w:themeColor="text1"/>
        </w:rPr>
        <w:t>0.020</w:t>
      </w:r>
      <w:r w:rsidR="001D4E65" w:rsidRPr="002E70DA">
        <w:rPr>
          <w:color w:val="000000" w:themeColor="text1"/>
        </w:rPr>
        <w:t>, BF</w:t>
      </w:r>
      <w:r w:rsidR="001D4E65" w:rsidRPr="002E70DA">
        <w:rPr>
          <w:color w:val="000000" w:themeColor="text1"/>
          <w:vertAlign w:val="subscript"/>
        </w:rPr>
        <w:t>01</w:t>
      </w:r>
      <w:r w:rsidR="001D4E65" w:rsidRPr="002E70DA">
        <w:rPr>
          <w:color w:val="000000" w:themeColor="text1"/>
        </w:rPr>
        <w:t xml:space="preserve"> = </w:t>
      </w:r>
      <w:r w:rsidR="002E70DA" w:rsidRPr="002E70DA">
        <w:rPr>
          <w:color w:val="000000" w:themeColor="text1"/>
        </w:rPr>
        <w:t>7</w:t>
      </w:r>
      <w:r w:rsidR="001D4E65" w:rsidRPr="002E70DA">
        <w:rPr>
          <w:color w:val="000000" w:themeColor="text1"/>
        </w:rPr>
        <w:t>.</w:t>
      </w:r>
      <w:r w:rsidR="002E70DA" w:rsidRPr="002E70DA">
        <w:rPr>
          <w:color w:val="000000" w:themeColor="text1"/>
        </w:rPr>
        <w:t>001</w:t>
      </w:r>
      <w:r w:rsidR="001D4E65" w:rsidRPr="002E70DA">
        <w:rPr>
          <w:color w:val="000000" w:themeColor="text1"/>
        </w:rPr>
        <w:t xml:space="preserve">, and the mean production frequency for Set 2A responses was not significantly different from that of Set 2B responses, </w:t>
      </w:r>
      <w:r w:rsidR="001D4E65" w:rsidRPr="002E70DA">
        <w:rPr>
          <w:i/>
          <w:iCs/>
          <w:color w:val="000000" w:themeColor="text1"/>
        </w:rPr>
        <w:t>t</w:t>
      </w:r>
      <w:r w:rsidR="001D4E65" w:rsidRPr="002E70DA">
        <w:rPr>
          <w:color w:val="000000" w:themeColor="text1"/>
        </w:rPr>
        <w:t xml:space="preserve">(59) = 1.960, </w:t>
      </w:r>
      <w:r w:rsidR="001D4E65" w:rsidRPr="002E70DA">
        <w:rPr>
          <w:i/>
          <w:iCs/>
          <w:color w:val="000000" w:themeColor="text1"/>
        </w:rPr>
        <w:t xml:space="preserve">p </w:t>
      </w:r>
      <w:r w:rsidR="001D4E65" w:rsidRPr="002E70DA">
        <w:rPr>
          <w:color w:val="000000" w:themeColor="text1"/>
        </w:rPr>
        <w:t xml:space="preserve">= .055, </w:t>
      </w:r>
      <w:proofErr w:type="spellStart"/>
      <w:r w:rsidR="001D4E65" w:rsidRPr="002E70DA">
        <w:rPr>
          <w:i/>
          <w:iCs/>
          <w:color w:val="000000" w:themeColor="text1"/>
        </w:rPr>
        <w:t>dz</w:t>
      </w:r>
      <w:proofErr w:type="spellEnd"/>
      <w:r w:rsidR="001D4E65" w:rsidRPr="002E70DA">
        <w:rPr>
          <w:color w:val="000000" w:themeColor="text1"/>
        </w:rPr>
        <w:t xml:space="preserve"> = 0.253, BF</w:t>
      </w:r>
      <w:r w:rsidR="001D4E65" w:rsidRPr="002E70DA">
        <w:rPr>
          <w:color w:val="000000" w:themeColor="text1"/>
          <w:vertAlign w:val="subscript"/>
        </w:rPr>
        <w:t>01</w:t>
      </w:r>
      <w:r w:rsidR="001D4E65" w:rsidRPr="002E70DA">
        <w:rPr>
          <w:color w:val="000000" w:themeColor="text1"/>
        </w:rPr>
        <w:t xml:space="preserve"> = 1.</w:t>
      </w:r>
      <w:r w:rsidR="002E70DA" w:rsidRPr="002E70DA">
        <w:rPr>
          <w:color w:val="000000" w:themeColor="text1"/>
        </w:rPr>
        <w:t>188</w:t>
      </w:r>
      <w:r w:rsidR="001D4E65" w:rsidRPr="002E70DA">
        <w:rPr>
          <w:color w:val="000000" w:themeColor="text1"/>
        </w:rPr>
        <w:t xml:space="preserve">. </w:t>
      </w:r>
    </w:p>
    <w:p w14:paraId="691B2604" w14:textId="15EDEEF0" w:rsidR="00DC6265" w:rsidRDefault="001D4E65" w:rsidP="00DC6265">
      <w:pPr>
        <w:spacing w:line="480" w:lineRule="auto"/>
        <w:ind w:firstLine="720"/>
        <w:rPr>
          <w:color w:val="000000" w:themeColor="text1"/>
        </w:rPr>
      </w:pPr>
      <w:r w:rsidRPr="00C92BD4">
        <w:rPr>
          <w:color w:val="000000" w:themeColor="text1"/>
        </w:rPr>
        <w:t xml:space="preserve">Further, the production frequency for Set 1A responses was not significantly different from that of Set 2A responses, </w:t>
      </w:r>
      <w:proofErr w:type="gramStart"/>
      <w:r w:rsidRPr="00C92BD4">
        <w:rPr>
          <w:i/>
          <w:iCs/>
          <w:color w:val="000000" w:themeColor="text1"/>
        </w:rPr>
        <w:t>t</w:t>
      </w:r>
      <w:r w:rsidRPr="00C92BD4">
        <w:rPr>
          <w:color w:val="000000" w:themeColor="text1"/>
        </w:rPr>
        <w:t>(</w:t>
      </w:r>
      <w:proofErr w:type="gramEnd"/>
      <w:r w:rsidRPr="00C92BD4">
        <w:rPr>
          <w:color w:val="000000" w:themeColor="text1"/>
        </w:rPr>
        <w:t>118) = 1.</w:t>
      </w:r>
      <w:r w:rsidR="00646172" w:rsidRPr="00C92BD4">
        <w:rPr>
          <w:color w:val="000000" w:themeColor="text1"/>
        </w:rPr>
        <w:t>822</w:t>
      </w:r>
      <w:r w:rsidRPr="00C92BD4">
        <w:rPr>
          <w:color w:val="000000" w:themeColor="text1"/>
        </w:rPr>
        <w:t xml:space="preserve">, </w:t>
      </w:r>
      <w:r w:rsidRPr="00C92BD4">
        <w:rPr>
          <w:i/>
          <w:iCs/>
          <w:color w:val="000000" w:themeColor="text1"/>
        </w:rPr>
        <w:t xml:space="preserve">p </w:t>
      </w:r>
      <w:r w:rsidRPr="00C92BD4">
        <w:rPr>
          <w:color w:val="000000" w:themeColor="text1"/>
        </w:rPr>
        <w:t>= .</w:t>
      </w:r>
      <w:r w:rsidR="00646172" w:rsidRPr="00C92BD4">
        <w:rPr>
          <w:color w:val="000000" w:themeColor="text1"/>
        </w:rPr>
        <w:t>071</w:t>
      </w:r>
      <w:r w:rsidRPr="00C92BD4">
        <w:rPr>
          <w:color w:val="000000" w:themeColor="text1"/>
        </w:rPr>
        <w:t xml:space="preserve">, </w:t>
      </w:r>
      <w:r w:rsidRPr="00C92BD4">
        <w:rPr>
          <w:i/>
          <w:iCs/>
          <w:color w:val="000000" w:themeColor="text1"/>
        </w:rPr>
        <w:t>d</w:t>
      </w:r>
      <w:r w:rsidRPr="00C92BD4">
        <w:rPr>
          <w:color w:val="000000" w:themeColor="text1"/>
        </w:rPr>
        <w:t xml:space="preserve"> = 0.</w:t>
      </w:r>
      <w:r w:rsidR="00646172" w:rsidRPr="00C92BD4">
        <w:rPr>
          <w:color w:val="000000" w:themeColor="text1"/>
        </w:rPr>
        <w:t>333</w:t>
      </w:r>
      <w:r w:rsidRPr="00C92BD4">
        <w:rPr>
          <w:color w:val="000000" w:themeColor="text1"/>
        </w:rPr>
        <w:t>, BF</w:t>
      </w:r>
      <w:r w:rsidRPr="00C92BD4">
        <w:rPr>
          <w:color w:val="000000" w:themeColor="text1"/>
          <w:vertAlign w:val="subscript"/>
        </w:rPr>
        <w:t>01</w:t>
      </w:r>
      <w:r w:rsidRPr="00C92BD4">
        <w:rPr>
          <w:color w:val="000000" w:themeColor="text1"/>
        </w:rPr>
        <w:t xml:space="preserve"> = 1.</w:t>
      </w:r>
      <w:r w:rsidR="00646172" w:rsidRPr="00C92BD4">
        <w:rPr>
          <w:color w:val="000000" w:themeColor="text1"/>
        </w:rPr>
        <w:t>4</w:t>
      </w:r>
      <w:r w:rsidR="00C92BD4" w:rsidRPr="00C92BD4">
        <w:rPr>
          <w:color w:val="000000" w:themeColor="text1"/>
        </w:rPr>
        <w:t>18</w:t>
      </w:r>
      <w:r w:rsidRPr="00C92BD4">
        <w:rPr>
          <w:color w:val="000000" w:themeColor="text1"/>
        </w:rPr>
        <w:t xml:space="preserve">, or Set 2B responses, </w:t>
      </w:r>
      <w:r w:rsidRPr="00C92BD4">
        <w:rPr>
          <w:i/>
          <w:iCs/>
          <w:color w:val="000000" w:themeColor="text1"/>
        </w:rPr>
        <w:t>t</w:t>
      </w:r>
      <w:r w:rsidRPr="00C92BD4">
        <w:rPr>
          <w:color w:val="000000" w:themeColor="text1"/>
        </w:rPr>
        <w:t>(118) = 0.7</w:t>
      </w:r>
      <w:r w:rsidR="00646172" w:rsidRPr="00C92BD4">
        <w:rPr>
          <w:color w:val="000000" w:themeColor="text1"/>
        </w:rPr>
        <w:t>37</w:t>
      </w:r>
      <w:r w:rsidRPr="00C92BD4">
        <w:rPr>
          <w:color w:val="000000" w:themeColor="text1"/>
        </w:rPr>
        <w:t xml:space="preserve">, </w:t>
      </w:r>
      <w:r w:rsidRPr="00C92BD4">
        <w:rPr>
          <w:i/>
          <w:iCs/>
          <w:color w:val="000000" w:themeColor="text1"/>
        </w:rPr>
        <w:t xml:space="preserve">p </w:t>
      </w:r>
      <w:r w:rsidRPr="00C92BD4">
        <w:rPr>
          <w:color w:val="000000" w:themeColor="text1"/>
        </w:rPr>
        <w:t>= .4</w:t>
      </w:r>
      <w:r w:rsidR="00646172" w:rsidRPr="00C92BD4">
        <w:rPr>
          <w:color w:val="000000" w:themeColor="text1"/>
        </w:rPr>
        <w:t>62</w:t>
      </w:r>
      <w:r w:rsidRPr="00C92BD4">
        <w:rPr>
          <w:color w:val="000000" w:themeColor="text1"/>
        </w:rPr>
        <w:t xml:space="preserve">, </w:t>
      </w:r>
      <w:r w:rsidRPr="00C92BD4">
        <w:rPr>
          <w:i/>
          <w:iCs/>
          <w:color w:val="000000" w:themeColor="text1"/>
        </w:rPr>
        <w:t>d</w:t>
      </w:r>
      <w:r w:rsidRPr="00C92BD4">
        <w:rPr>
          <w:color w:val="000000" w:themeColor="text1"/>
        </w:rPr>
        <w:t xml:space="preserve"> = 0.</w:t>
      </w:r>
      <w:r w:rsidR="00646172" w:rsidRPr="00C92BD4">
        <w:rPr>
          <w:color w:val="000000" w:themeColor="text1"/>
        </w:rPr>
        <w:t>135</w:t>
      </w:r>
      <w:r w:rsidRPr="00C92BD4">
        <w:rPr>
          <w:color w:val="000000" w:themeColor="text1"/>
        </w:rPr>
        <w:t>, BF</w:t>
      </w:r>
      <w:r w:rsidRPr="00C92BD4">
        <w:rPr>
          <w:color w:val="000000" w:themeColor="text1"/>
          <w:vertAlign w:val="subscript"/>
        </w:rPr>
        <w:t>01</w:t>
      </w:r>
      <w:r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5.134</w:t>
      </w:r>
      <w:r w:rsidRPr="00C92BD4">
        <w:rPr>
          <w:color w:val="000000" w:themeColor="text1"/>
        </w:rPr>
        <w:t xml:space="preserve">. </w:t>
      </w:r>
      <w:r w:rsidR="00646172" w:rsidRPr="00C92BD4">
        <w:rPr>
          <w:color w:val="000000" w:themeColor="text1"/>
        </w:rPr>
        <w:t>T</w:t>
      </w:r>
      <w:r w:rsidRPr="00C92BD4">
        <w:rPr>
          <w:color w:val="000000" w:themeColor="text1"/>
        </w:rPr>
        <w:t xml:space="preserve">he production frequency for Set 1B responses was not significantly different from that of Set 2A responses, </w:t>
      </w:r>
      <w:proofErr w:type="gramStart"/>
      <w:r w:rsidRPr="00C92BD4">
        <w:rPr>
          <w:i/>
          <w:iCs/>
          <w:color w:val="000000" w:themeColor="text1"/>
        </w:rPr>
        <w:t>t</w:t>
      </w:r>
      <w:r w:rsidRPr="00C92BD4">
        <w:rPr>
          <w:color w:val="000000" w:themeColor="text1"/>
        </w:rPr>
        <w:t>(</w:t>
      </w:r>
      <w:proofErr w:type="gramEnd"/>
      <w:r w:rsidRPr="00C92BD4">
        <w:rPr>
          <w:color w:val="000000" w:themeColor="text1"/>
        </w:rPr>
        <w:t xml:space="preserve">118) = 1.360, </w:t>
      </w:r>
      <w:r w:rsidRPr="00C92BD4">
        <w:rPr>
          <w:i/>
          <w:iCs/>
          <w:color w:val="000000" w:themeColor="text1"/>
        </w:rPr>
        <w:t xml:space="preserve">p </w:t>
      </w:r>
      <w:r w:rsidRPr="00C92BD4">
        <w:rPr>
          <w:color w:val="000000" w:themeColor="text1"/>
        </w:rPr>
        <w:t xml:space="preserve">= .176, </w:t>
      </w:r>
      <w:r w:rsidRPr="00C92BD4">
        <w:rPr>
          <w:i/>
          <w:iCs/>
          <w:color w:val="000000" w:themeColor="text1"/>
        </w:rPr>
        <w:t>d</w:t>
      </w:r>
      <w:r w:rsidRPr="00C92BD4">
        <w:rPr>
          <w:color w:val="000000" w:themeColor="text1"/>
        </w:rPr>
        <w:t xml:space="preserve"> = 0.248, BF</w:t>
      </w:r>
      <w:r w:rsidRPr="00C92BD4">
        <w:rPr>
          <w:color w:val="000000" w:themeColor="text1"/>
          <w:vertAlign w:val="subscript"/>
        </w:rPr>
        <w:t>01</w:t>
      </w:r>
      <w:r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1</w:t>
      </w:r>
      <w:r w:rsidRPr="00C92BD4">
        <w:rPr>
          <w:color w:val="000000" w:themeColor="text1"/>
        </w:rPr>
        <w:t>.</w:t>
      </w:r>
      <w:r w:rsidR="00C92BD4" w:rsidRPr="00C92BD4">
        <w:rPr>
          <w:color w:val="000000" w:themeColor="text1"/>
        </w:rPr>
        <w:t>819</w:t>
      </w:r>
      <w:r w:rsidRPr="00C92BD4">
        <w:rPr>
          <w:color w:val="000000" w:themeColor="text1"/>
        </w:rPr>
        <w:t xml:space="preserve">, or Set 2B responses, </w:t>
      </w:r>
      <w:r w:rsidRPr="00C92BD4">
        <w:rPr>
          <w:i/>
          <w:iCs/>
          <w:color w:val="000000" w:themeColor="text1"/>
        </w:rPr>
        <w:t>t</w:t>
      </w:r>
      <w:r w:rsidRPr="00C92BD4">
        <w:rPr>
          <w:color w:val="000000" w:themeColor="text1"/>
        </w:rPr>
        <w:t xml:space="preserve">(118) = 1.360, </w:t>
      </w:r>
      <w:r w:rsidRPr="00C92BD4">
        <w:rPr>
          <w:i/>
          <w:iCs/>
          <w:color w:val="000000" w:themeColor="text1"/>
        </w:rPr>
        <w:t xml:space="preserve">p </w:t>
      </w:r>
      <w:r w:rsidRPr="00C92BD4">
        <w:rPr>
          <w:color w:val="000000" w:themeColor="text1"/>
        </w:rPr>
        <w:t xml:space="preserve">= .461, </w:t>
      </w:r>
      <w:r w:rsidRPr="00C92BD4">
        <w:rPr>
          <w:i/>
          <w:iCs/>
          <w:color w:val="000000" w:themeColor="text1"/>
        </w:rPr>
        <w:t>d</w:t>
      </w:r>
      <w:r w:rsidRPr="00C92BD4">
        <w:rPr>
          <w:color w:val="000000" w:themeColor="text1"/>
        </w:rPr>
        <w:t xml:space="preserve"> = 0.135, BF</w:t>
      </w:r>
      <w:r w:rsidRPr="00C92BD4">
        <w:rPr>
          <w:color w:val="000000" w:themeColor="text1"/>
          <w:vertAlign w:val="subscript"/>
        </w:rPr>
        <w:t>01</w:t>
      </w:r>
      <w:r w:rsidRPr="00C92BD4">
        <w:rPr>
          <w:color w:val="000000" w:themeColor="text1"/>
        </w:rPr>
        <w:t xml:space="preserve"> = 5.</w:t>
      </w:r>
      <w:r w:rsidR="00C92BD4" w:rsidRPr="00C92BD4">
        <w:rPr>
          <w:color w:val="000000" w:themeColor="text1"/>
        </w:rPr>
        <w:t>728</w:t>
      </w:r>
      <w:r w:rsidRPr="00C92BD4">
        <w:rPr>
          <w:color w:val="000000" w:themeColor="text1"/>
        </w:rPr>
        <w:t>.</w:t>
      </w:r>
    </w:p>
    <w:p w14:paraId="761CE527" w14:textId="77777777" w:rsidR="00DC6265" w:rsidRDefault="00DC6265" w:rsidP="00DC6265">
      <w:pPr>
        <w:spacing w:line="480" w:lineRule="auto"/>
        <w:ind w:firstLine="720"/>
        <w:rPr>
          <w:color w:val="000000" w:themeColor="text1"/>
        </w:rPr>
      </w:pPr>
    </w:p>
    <w:p w14:paraId="580EAA71" w14:textId="77777777" w:rsidR="00DC6265" w:rsidRDefault="00DC6265" w:rsidP="00DC6265">
      <w:pPr>
        <w:spacing w:line="480" w:lineRule="auto"/>
        <w:ind w:firstLine="720"/>
        <w:rPr>
          <w:color w:val="000000" w:themeColor="text1"/>
        </w:rPr>
      </w:pPr>
    </w:p>
    <w:p w14:paraId="2E31B8F1" w14:textId="77777777" w:rsidR="00DC6265" w:rsidRDefault="00DC6265" w:rsidP="00DC6265">
      <w:pPr>
        <w:spacing w:line="480" w:lineRule="auto"/>
        <w:ind w:firstLine="720"/>
        <w:rPr>
          <w:color w:val="000000" w:themeColor="text1"/>
        </w:rPr>
      </w:pPr>
    </w:p>
    <w:p w14:paraId="7ED08AC5" w14:textId="77777777" w:rsidR="00DC6265" w:rsidRPr="00DC6265" w:rsidRDefault="00DC6265" w:rsidP="00DC6265">
      <w:pPr>
        <w:spacing w:line="480" w:lineRule="auto"/>
        <w:ind w:firstLine="720"/>
        <w:rPr>
          <w:color w:val="000000" w:themeColor="text1"/>
        </w:rPr>
      </w:pPr>
    </w:p>
    <w:p w14:paraId="4D9006BF" w14:textId="415DDBD3" w:rsidR="00DC6265" w:rsidRPr="00DC6265" w:rsidRDefault="00DC6265" w:rsidP="00DC6265">
      <w:pPr>
        <w:spacing w:line="480" w:lineRule="auto"/>
        <w:rPr>
          <w:color w:val="000000" w:themeColor="text1"/>
          <w:u w:val="single"/>
        </w:rPr>
      </w:pPr>
      <w:r w:rsidRPr="00DC6265">
        <w:rPr>
          <w:color w:val="000000" w:themeColor="text1"/>
          <w:u w:val="single"/>
        </w:rPr>
        <w:lastRenderedPageBreak/>
        <w:t xml:space="preserve">Supplementary Analysis </w:t>
      </w:r>
      <w:r>
        <w:rPr>
          <w:color w:val="000000" w:themeColor="text1"/>
          <w:u w:val="single"/>
        </w:rPr>
        <w:t>3</w:t>
      </w:r>
      <w:r w:rsidRPr="00DC6265">
        <w:rPr>
          <w:color w:val="000000" w:themeColor="text1"/>
          <w:u w:val="single"/>
        </w:rPr>
        <w:t xml:space="preserve">: </w:t>
      </w:r>
      <w:r>
        <w:rPr>
          <w:color w:val="000000" w:themeColor="text1"/>
          <w:u w:val="single"/>
        </w:rPr>
        <w:t xml:space="preserve">Further Analyses of Semantic Priming </w:t>
      </w:r>
      <w:r w:rsidR="003A7D11">
        <w:rPr>
          <w:color w:val="000000" w:themeColor="text1"/>
          <w:u w:val="single"/>
        </w:rPr>
        <w:t xml:space="preserve">as a Function of </w:t>
      </w:r>
      <w:r>
        <w:rPr>
          <w:color w:val="000000" w:themeColor="text1"/>
          <w:u w:val="single"/>
        </w:rPr>
        <w:t>Different Versions and Sets and Applying Different Baselines</w:t>
      </w:r>
      <w:r>
        <w:rPr>
          <w:color w:val="000000" w:themeColor="text1"/>
          <w:u w:val="single"/>
        </w:rPr>
        <w:t xml:space="preserve"> (Phase 2)</w:t>
      </w:r>
    </w:p>
    <w:p w14:paraId="5F706699" w14:textId="77777777" w:rsidR="00DC6265" w:rsidRPr="00560F5D" w:rsidRDefault="00DC6265" w:rsidP="00DC6265">
      <w:pPr>
        <w:spacing w:line="480" w:lineRule="auto"/>
        <w:rPr>
          <w:color w:val="000000" w:themeColor="text1"/>
        </w:rPr>
      </w:pPr>
    </w:p>
    <w:p w14:paraId="73301F9C" w14:textId="1566D171" w:rsidR="00DC6265" w:rsidRDefault="001D4E65" w:rsidP="00DC6265">
      <w:pPr>
        <w:spacing w:line="480" w:lineRule="auto"/>
        <w:ind w:firstLine="720"/>
        <w:rPr>
          <w:color w:val="000000" w:themeColor="text1"/>
        </w:rPr>
      </w:pPr>
      <w:r w:rsidRPr="00560F5D">
        <w:rPr>
          <w:color w:val="000000" w:themeColor="text1"/>
        </w:rPr>
        <w:t xml:space="preserve">Having established that there were no systematic differences in production frequencies between the different sets and versions of category-exemplars deployed in the study, we moved on to investigate whether semantic priming had occurred. </w:t>
      </w:r>
      <w:r w:rsidR="1FA16047" w:rsidRPr="00560F5D">
        <w:rPr>
          <w:color w:val="000000" w:themeColor="text1"/>
        </w:rPr>
        <w:t xml:space="preserve">The most </w:t>
      </w:r>
      <w:r w:rsidR="7433720B" w:rsidRPr="00560F5D">
        <w:rPr>
          <w:color w:val="000000" w:themeColor="text1"/>
        </w:rPr>
        <w:t>straightforward way</w:t>
      </w:r>
      <w:r w:rsidR="1FA16047" w:rsidRPr="00560F5D">
        <w:rPr>
          <w:color w:val="000000" w:themeColor="text1"/>
        </w:rPr>
        <w:t xml:space="preserve"> to determine priming is to investigate whether </w:t>
      </w:r>
      <w:r w:rsidR="562AAD5D" w:rsidRPr="00560F5D">
        <w:rPr>
          <w:color w:val="000000" w:themeColor="text1"/>
        </w:rPr>
        <w:t xml:space="preserve">the production frequencies of </w:t>
      </w:r>
      <w:r w:rsidR="74362236" w:rsidRPr="00560F5D">
        <w:rPr>
          <w:color w:val="000000" w:themeColor="text1"/>
        </w:rPr>
        <w:t xml:space="preserve">Version </w:t>
      </w:r>
      <w:r w:rsidR="562AAD5D" w:rsidRPr="00560F5D">
        <w:rPr>
          <w:color w:val="000000" w:themeColor="text1"/>
        </w:rPr>
        <w:t xml:space="preserve">A responses, differed from those of </w:t>
      </w:r>
      <w:r w:rsidR="7C76543F" w:rsidRPr="00560F5D">
        <w:rPr>
          <w:color w:val="000000" w:themeColor="text1"/>
        </w:rPr>
        <w:t xml:space="preserve">Version </w:t>
      </w:r>
      <w:r w:rsidR="562AAD5D" w:rsidRPr="00560F5D">
        <w:rPr>
          <w:color w:val="000000" w:themeColor="text1"/>
        </w:rPr>
        <w:t xml:space="preserve">B whereby A and B responses are both drawn from the same </w:t>
      </w:r>
      <w:r w:rsidR="52F0459E" w:rsidRPr="00560F5D">
        <w:rPr>
          <w:color w:val="000000" w:themeColor="text1"/>
        </w:rPr>
        <w:t>(primed) semantic category.</w:t>
      </w:r>
      <w:r w:rsidR="682FCF6E" w:rsidRPr="00560F5D">
        <w:rPr>
          <w:color w:val="000000" w:themeColor="text1"/>
        </w:rPr>
        <w:t xml:space="preserve"> </w:t>
      </w:r>
      <w:r w:rsidR="3AF69F83" w:rsidRPr="00560F5D">
        <w:rPr>
          <w:color w:val="000000" w:themeColor="text1"/>
        </w:rPr>
        <w:t>For example, recall that the category-exemplars in Set 1B were drawn from the same semantic category as the Set 1A category-exemplars</w:t>
      </w:r>
      <w:r w:rsidR="00646172" w:rsidRPr="00560F5D">
        <w:rPr>
          <w:color w:val="000000" w:themeColor="text1"/>
        </w:rPr>
        <w:t>—</w:t>
      </w:r>
      <w:r w:rsidR="20AFA880" w:rsidRPr="00560F5D">
        <w:rPr>
          <w:color w:val="000000" w:themeColor="text1"/>
        </w:rPr>
        <w:t xml:space="preserve">that for </w:t>
      </w:r>
      <w:r w:rsidR="00B25B72" w:rsidRPr="00560F5D">
        <w:rPr>
          <w:color w:val="000000" w:themeColor="text1"/>
        </w:rPr>
        <w:t xml:space="preserve">other </w:t>
      </w:r>
      <w:r w:rsidR="20AFA880" w:rsidRPr="00560F5D">
        <w:rPr>
          <w:color w:val="000000" w:themeColor="text1"/>
        </w:rPr>
        <w:t xml:space="preserve">participants served as </w:t>
      </w:r>
      <w:r w:rsidR="3AF69F83" w:rsidRPr="00560F5D">
        <w:rPr>
          <w:color w:val="000000" w:themeColor="text1"/>
        </w:rPr>
        <w:t>distractors</w:t>
      </w:r>
      <w:r w:rsidR="00646172" w:rsidRPr="00560F5D">
        <w:rPr>
          <w:color w:val="000000" w:themeColor="text1"/>
        </w:rPr>
        <w:t>—</w:t>
      </w:r>
      <w:r w:rsidR="3AF69F83" w:rsidRPr="00560F5D">
        <w:rPr>
          <w:color w:val="000000" w:themeColor="text1"/>
        </w:rPr>
        <w:t xml:space="preserve">but had not previously </w:t>
      </w:r>
      <w:r w:rsidR="00B25B72" w:rsidRPr="00560F5D">
        <w:rPr>
          <w:color w:val="000000" w:themeColor="text1"/>
        </w:rPr>
        <w:t xml:space="preserve">been </w:t>
      </w:r>
      <w:r w:rsidR="3AF69F83" w:rsidRPr="00560F5D">
        <w:rPr>
          <w:color w:val="000000" w:themeColor="text1"/>
        </w:rPr>
        <w:t xml:space="preserve">heard by the participants </w:t>
      </w:r>
      <w:r w:rsidR="00B25B72" w:rsidRPr="00560F5D">
        <w:rPr>
          <w:color w:val="000000" w:themeColor="text1"/>
        </w:rPr>
        <w:t xml:space="preserve">as distractors </w:t>
      </w:r>
      <w:r w:rsidR="3AF69F83" w:rsidRPr="00560F5D">
        <w:rPr>
          <w:color w:val="000000" w:themeColor="text1"/>
        </w:rPr>
        <w:t>in the context of the serial recall task.</w:t>
      </w:r>
    </w:p>
    <w:p w14:paraId="74791B55" w14:textId="7F36C4FD" w:rsidR="002A3628" w:rsidRPr="00DC6265" w:rsidRDefault="3B99E7BD" w:rsidP="00645436">
      <w:pPr>
        <w:spacing w:line="480" w:lineRule="auto"/>
        <w:ind w:firstLine="720"/>
        <w:rPr>
          <w:color w:val="000000" w:themeColor="text1"/>
        </w:rPr>
      </w:pPr>
      <w:r w:rsidRPr="00DC6265">
        <w:rPr>
          <w:color w:val="000000" w:themeColor="text1"/>
        </w:rPr>
        <w:t xml:space="preserve">To explore whether priming occurred regardless of </w:t>
      </w:r>
      <w:r w:rsidR="00645436" w:rsidRPr="00DC6265">
        <w:rPr>
          <w:color w:val="000000" w:themeColor="text1"/>
        </w:rPr>
        <w:t xml:space="preserve">which </w:t>
      </w:r>
      <w:r w:rsidRPr="00DC6265">
        <w:rPr>
          <w:color w:val="000000" w:themeColor="text1"/>
        </w:rPr>
        <w:t xml:space="preserve">Set </w:t>
      </w:r>
      <w:r w:rsidR="08C0FB6E" w:rsidRPr="00DC6265">
        <w:rPr>
          <w:color w:val="000000" w:themeColor="text1"/>
        </w:rPr>
        <w:t>(1 vs</w:t>
      </w:r>
      <w:r w:rsidR="00C65175" w:rsidRPr="00DC6265">
        <w:rPr>
          <w:color w:val="000000" w:themeColor="text1"/>
        </w:rPr>
        <w:t>.</w:t>
      </w:r>
      <w:r w:rsidR="08C0FB6E" w:rsidRPr="00DC6265">
        <w:rPr>
          <w:color w:val="000000" w:themeColor="text1"/>
        </w:rPr>
        <w:t xml:space="preserve"> 2) and Version (A vs</w:t>
      </w:r>
      <w:r w:rsidR="00C65175" w:rsidRPr="00DC6265">
        <w:rPr>
          <w:color w:val="000000" w:themeColor="text1"/>
        </w:rPr>
        <w:t>.</w:t>
      </w:r>
      <w:r w:rsidR="08C0FB6E" w:rsidRPr="00DC6265">
        <w:rPr>
          <w:color w:val="000000" w:themeColor="text1"/>
        </w:rPr>
        <w:t xml:space="preserve"> B) was assigned </w:t>
      </w:r>
      <w:r w:rsidR="00EF644F" w:rsidRPr="00DC6265">
        <w:rPr>
          <w:color w:val="000000" w:themeColor="text1"/>
        </w:rPr>
        <w:t xml:space="preserve">to act as </w:t>
      </w:r>
      <w:r w:rsidR="08C0FB6E" w:rsidRPr="00DC6265">
        <w:rPr>
          <w:color w:val="000000" w:themeColor="text1"/>
        </w:rPr>
        <w:t xml:space="preserve">primes, a </w:t>
      </w:r>
      <w:r w:rsidR="621BA04C" w:rsidRPr="00DC6265">
        <w:rPr>
          <w:color w:val="000000" w:themeColor="text1"/>
        </w:rPr>
        <w:t>2</w:t>
      </w:r>
      <w:r w:rsidR="00EF644F" w:rsidRPr="00DC6265">
        <w:rPr>
          <w:color w:val="000000" w:themeColor="text1"/>
        </w:rPr>
        <w:t xml:space="preserve"> </w:t>
      </w:r>
      <w:r w:rsidR="621BA04C" w:rsidRPr="00DC6265">
        <w:rPr>
          <w:color w:val="000000" w:themeColor="text1"/>
        </w:rPr>
        <w:t>(</w:t>
      </w:r>
      <w:r w:rsidR="00EF644F" w:rsidRPr="00DC6265">
        <w:rPr>
          <w:color w:val="000000" w:themeColor="text1"/>
        </w:rPr>
        <w:t>p</w:t>
      </w:r>
      <w:r w:rsidR="621BA04C" w:rsidRPr="00DC6265">
        <w:rPr>
          <w:color w:val="000000" w:themeColor="text1"/>
        </w:rPr>
        <w:t xml:space="preserve">riming </w:t>
      </w:r>
      <w:r w:rsidR="00EF644F" w:rsidRPr="00DC6265">
        <w:rPr>
          <w:color w:val="000000" w:themeColor="text1"/>
        </w:rPr>
        <w:t>s</w:t>
      </w:r>
      <w:r w:rsidR="621BA04C" w:rsidRPr="00DC6265">
        <w:rPr>
          <w:color w:val="000000" w:themeColor="text1"/>
        </w:rPr>
        <w:t xml:space="preserve">tatus: </w:t>
      </w:r>
      <w:r w:rsidR="00EF644F" w:rsidRPr="00DC6265">
        <w:rPr>
          <w:color w:val="000000" w:themeColor="text1"/>
        </w:rPr>
        <w:t>p</w:t>
      </w:r>
      <w:r w:rsidR="621BA04C" w:rsidRPr="00DC6265">
        <w:rPr>
          <w:color w:val="000000" w:themeColor="text1"/>
        </w:rPr>
        <w:t>rimed vs</w:t>
      </w:r>
      <w:r w:rsidR="00EF644F" w:rsidRPr="00DC6265">
        <w:rPr>
          <w:color w:val="000000" w:themeColor="text1"/>
        </w:rPr>
        <w:t>.</w:t>
      </w:r>
      <w:r w:rsidR="621BA04C" w:rsidRPr="00DC6265">
        <w:rPr>
          <w:color w:val="000000" w:themeColor="text1"/>
        </w:rPr>
        <w:t xml:space="preserve"> </w:t>
      </w:r>
      <w:proofErr w:type="spellStart"/>
      <w:r w:rsidR="00FE63EE" w:rsidRPr="00DC6265">
        <w:rPr>
          <w:color w:val="000000" w:themeColor="text1"/>
        </w:rPr>
        <w:t>un</w:t>
      </w:r>
      <w:r w:rsidR="621BA04C" w:rsidRPr="00DC6265">
        <w:rPr>
          <w:color w:val="000000" w:themeColor="text1"/>
        </w:rPr>
        <w:t>primed</w:t>
      </w:r>
      <w:proofErr w:type="spellEnd"/>
      <w:r w:rsidR="621BA04C" w:rsidRPr="00DC6265">
        <w:rPr>
          <w:color w:val="000000" w:themeColor="text1"/>
        </w:rPr>
        <w:t>) × 2</w:t>
      </w:r>
      <w:r w:rsidR="00EF644F" w:rsidRPr="00DC6265">
        <w:rPr>
          <w:color w:val="000000" w:themeColor="text1"/>
        </w:rPr>
        <w:t xml:space="preserve"> </w:t>
      </w:r>
      <w:r w:rsidR="621BA04C" w:rsidRPr="00DC6265">
        <w:rPr>
          <w:color w:val="000000" w:themeColor="text1"/>
        </w:rPr>
        <w:t>(</w:t>
      </w:r>
      <w:r w:rsidR="00EF644F" w:rsidRPr="00DC6265">
        <w:rPr>
          <w:color w:val="000000" w:themeColor="text1"/>
        </w:rPr>
        <w:t>o</w:t>
      </w:r>
      <w:r w:rsidR="621BA04C" w:rsidRPr="00DC6265">
        <w:rPr>
          <w:color w:val="000000" w:themeColor="text1"/>
        </w:rPr>
        <w:t xml:space="preserve">rganisation: </w:t>
      </w:r>
      <w:r w:rsidR="00EF644F" w:rsidRPr="00DC6265">
        <w:rPr>
          <w:color w:val="000000" w:themeColor="text1"/>
        </w:rPr>
        <w:t xml:space="preserve">blocked </w:t>
      </w:r>
      <w:r w:rsidR="621BA04C" w:rsidRPr="00DC6265">
        <w:rPr>
          <w:color w:val="000000" w:themeColor="text1"/>
        </w:rPr>
        <w:t>vs</w:t>
      </w:r>
      <w:r w:rsidR="00EF644F" w:rsidRPr="00DC6265">
        <w:rPr>
          <w:color w:val="000000" w:themeColor="text1"/>
        </w:rPr>
        <w:t>. r</w:t>
      </w:r>
      <w:r w:rsidR="621BA04C" w:rsidRPr="00DC6265">
        <w:rPr>
          <w:color w:val="000000" w:themeColor="text1"/>
        </w:rPr>
        <w:t>andom)</w:t>
      </w:r>
      <w:r w:rsidR="33014DDE" w:rsidRPr="00DC6265">
        <w:rPr>
          <w:color w:val="000000" w:themeColor="text1"/>
        </w:rPr>
        <w:t xml:space="preserve"> ×4</w:t>
      </w:r>
      <w:r w:rsidR="00EF644F" w:rsidRPr="00DC6265">
        <w:rPr>
          <w:color w:val="000000" w:themeColor="text1"/>
        </w:rPr>
        <w:t xml:space="preserve"> </w:t>
      </w:r>
      <w:r w:rsidR="33014DDE" w:rsidRPr="00DC6265">
        <w:rPr>
          <w:color w:val="000000" w:themeColor="text1"/>
        </w:rPr>
        <w:t>(Set and Version: Set 1A vs</w:t>
      </w:r>
      <w:r w:rsidR="00EF644F" w:rsidRPr="00DC6265">
        <w:rPr>
          <w:color w:val="000000" w:themeColor="text1"/>
        </w:rPr>
        <w:t>.</w:t>
      </w:r>
      <w:r w:rsidR="33014DDE" w:rsidRPr="00DC6265">
        <w:rPr>
          <w:color w:val="000000" w:themeColor="text1"/>
        </w:rPr>
        <w:t xml:space="preserve"> Set 1B vs</w:t>
      </w:r>
      <w:r w:rsidR="00EF644F" w:rsidRPr="00DC6265">
        <w:rPr>
          <w:color w:val="000000" w:themeColor="text1"/>
        </w:rPr>
        <w:t>.</w:t>
      </w:r>
      <w:r w:rsidR="33014DDE" w:rsidRPr="00DC6265">
        <w:rPr>
          <w:color w:val="000000" w:themeColor="text1"/>
        </w:rPr>
        <w:t xml:space="preserve"> Set 2A vs</w:t>
      </w:r>
      <w:r w:rsidR="00EF644F" w:rsidRPr="00DC6265">
        <w:rPr>
          <w:color w:val="000000" w:themeColor="text1"/>
        </w:rPr>
        <w:t>.</w:t>
      </w:r>
      <w:r w:rsidR="33014DDE" w:rsidRPr="00DC6265">
        <w:rPr>
          <w:color w:val="000000" w:themeColor="text1"/>
        </w:rPr>
        <w:t xml:space="preserve"> Set 2B) </w:t>
      </w:r>
      <w:r w:rsidR="71A6330F" w:rsidRPr="00DC6265">
        <w:rPr>
          <w:color w:val="000000" w:themeColor="text1"/>
        </w:rPr>
        <w:t xml:space="preserve">mixed analysis of variance was run. </w:t>
      </w:r>
      <w:r w:rsidR="3879FAFA" w:rsidRPr="00DC6265">
        <w:rPr>
          <w:color w:val="000000" w:themeColor="text1"/>
        </w:rPr>
        <w:t xml:space="preserve">There was no between-participants main effect of </w:t>
      </w:r>
      <w:r w:rsidR="00EF644F" w:rsidRPr="00DC6265">
        <w:rPr>
          <w:color w:val="000000" w:themeColor="text1"/>
        </w:rPr>
        <w:t>set</w:t>
      </w:r>
      <w:r w:rsidR="3879FAFA" w:rsidRPr="00DC6265">
        <w:rPr>
          <w:color w:val="000000" w:themeColor="text1"/>
        </w:rPr>
        <w:t xml:space="preserve">, </w:t>
      </w:r>
      <w:proofErr w:type="gramStart"/>
      <w:r w:rsidR="3879FAFA" w:rsidRPr="00DC6265">
        <w:rPr>
          <w:i/>
          <w:iCs/>
          <w:color w:val="000000" w:themeColor="text1"/>
        </w:rPr>
        <w:t>F</w:t>
      </w:r>
      <w:r w:rsidR="3879FAFA" w:rsidRPr="00DC6265">
        <w:rPr>
          <w:color w:val="000000" w:themeColor="text1"/>
        </w:rPr>
        <w:t>(</w:t>
      </w:r>
      <w:proofErr w:type="gramEnd"/>
      <w:r w:rsidR="0B8372ED" w:rsidRPr="00DC6265">
        <w:rPr>
          <w:color w:val="000000" w:themeColor="text1"/>
        </w:rPr>
        <w:t xml:space="preserve">3, 112) = </w:t>
      </w:r>
      <w:r w:rsidR="00646172" w:rsidRPr="00DC6265">
        <w:rPr>
          <w:color w:val="000000" w:themeColor="text1"/>
        </w:rPr>
        <w:t>1</w:t>
      </w:r>
      <w:r w:rsidR="0B8372ED" w:rsidRPr="00DC6265">
        <w:rPr>
          <w:color w:val="000000" w:themeColor="text1"/>
        </w:rPr>
        <w:t>.</w:t>
      </w:r>
      <w:r w:rsidR="00645436" w:rsidRPr="00DC6265">
        <w:rPr>
          <w:color w:val="000000" w:themeColor="text1"/>
        </w:rPr>
        <w:t>450,</w:t>
      </w:r>
      <w:r w:rsidR="0B8372ED" w:rsidRPr="00DC6265">
        <w:rPr>
          <w:color w:val="000000" w:themeColor="text1"/>
        </w:rPr>
        <w:t xml:space="preserve"> </w:t>
      </w:r>
      <w:r w:rsidR="0B8372ED" w:rsidRPr="00DC6265">
        <w:rPr>
          <w:i/>
          <w:iCs/>
          <w:color w:val="000000" w:themeColor="text1"/>
        </w:rPr>
        <w:t xml:space="preserve">MSE </w:t>
      </w:r>
      <w:r w:rsidR="0B8372ED" w:rsidRPr="00DC6265">
        <w:rPr>
          <w:color w:val="000000" w:themeColor="text1"/>
        </w:rPr>
        <w:t>= .00</w:t>
      </w:r>
      <w:r w:rsidR="00646172" w:rsidRPr="00DC6265">
        <w:rPr>
          <w:color w:val="000000" w:themeColor="text1"/>
        </w:rPr>
        <w:t>3</w:t>
      </w:r>
      <w:r w:rsidR="0B8372ED" w:rsidRPr="00DC6265">
        <w:rPr>
          <w:color w:val="000000" w:themeColor="text1"/>
        </w:rPr>
        <w:t xml:space="preserve">, </w:t>
      </w:r>
      <w:r w:rsidR="0B8372ED" w:rsidRPr="00DC6265">
        <w:rPr>
          <w:i/>
          <w:iCs/>
          <w:color w:val="000000" w:themeColor="text1"/>
        </w:rPr>
        <w:t>p</w:t>
      </w:r>
      <w:r w:rsidR="0B8372ED" w:rsidRPr="00DC6265">
        <w:rPr>
          <w:color w:val="000000" w:themeColor="text1"/>
        </w:rPr>
        <w:t xml:space="preserve"> = .</w:t>
      </w:r>
      <w:r w:rsidR="00646172" w:rsidRPr="00DC6265">
        <w:rPr>
          <w:color w:val="000000" w:themeColor="text1"/>
        </w:rPr>
        <w:t>2</w:t>
      </w:r>
      <w:r w:rsidR="00645436" w:rsidRPr="00DC6265">
        <w:rPr>
          <w:color w:val="000000" w:themeColor="text1"/>
        </w:rPr>
        <w:t>32</w:t>
      </w:r>
      <w:r w:rsidR="0B8372ED" w:rsidRPr="00DC6265">
        <w:rPr>
          <w:color w:val="000000" w:themeColor="text1"/>
        </w:rPr>
        <w:t xml:space="preserve">, </w:t>
      </w:r>
      <w:r w:rsidR="00646172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46172" w:rsidRPr="00DC6265">
        <w:rPr>
          <w:color w:val="000000" w:themeColor="text1"/>
          <w:vertAlign w:val="subscript"/>
          <w:lang w:val="en-US"/>
        </w:rPr>
        <w:t>p</w:t>
      </w:r>
      <w:r w:rsidR="00646172" w:rsidRPr="00DC6265">
        <w:rPr>
          <w:color w:val="000000" w:themeColor="text1"/>
          <w:vertAlign w:val="superscript"/>
          <w:lang w:val="en-US"/>
        </w:rPr>
        <w:t>2</w:t>
      </w:r>
      <w:r w:rsidR="0B8372ED" w:rsidRPr="00DC6265">
        <w:rPr>
          <w:color w:val="000000" w:themeColor="text1"/>
        </w:rPr>
        <w:t xml:space="preserve"> = .0</w:t>
      </w:r>
      <w:r w:rsidR="00646172" w:rsidRPr="00DC6265">
        <w:rPr>
          <w:color w:val="000000" w:themeColor="text1"/>
        </w:rPr>
        <w:t>3</w:t>
      </w:r>
      <w:r w:rsidR="00645436" w:rsidRPr="00DC6265">
        <w:rPr>
          <w:color w:val="000000" w:themeColor="text1"/>
        </w:rPr>
        <w:t>7</w:t>
      </w:r>
      <w:r w:rsidR="0B8372ED" w:rsidRPr="00DC6265">
        <w:rPr>
          <w:color w:val="000000" w:themeColor="text1"/>
        </w:rPr>
        <w:t xml:space="preserve">, nor any interaction with </w:t>
      </w:r>
      <w:r w:rsidR="00EF644F" w:rsidRPr="00DC6265">
        <w:rPr>
          <w:color w:val="000000" w:themeColor="text1"/>
        </w:rPr>
        <w:t>priming status</w:t>
      </w:r>
      <w:r w:rsidR="2F5D2EF9" w:rsidRPr="00DC6265">
        <w:rPr>
          <w:color w:val="000000" w:themeColor="text1"/>
        </w:rPr>
        <w:t xml:space="preserve">, </w:t>
      </w:r>
      <w:r w:rsidR="2F5D2EF9" w:rsidRPr="00DC6265">
        <w:rPr>
          <w:i/>
          <w:iCs/>
          <w:color w:val="000000" w:themeColor="text1"/>
        </w:rPr>
        <w:t>F</w:t>
      </w:r>
      <w:r w:rsidR="2F5D2EF9" w:rsidRPr="00DC6265">
        <w:rPr>
          <w:color w:val="000000" w:themeColor="text1"/>
        </w:rPr>
        <w:t>(</w:t>
      </w:r>
      <w:r w:rsidR="53A9F163" w:rsidRPr="00DC6265">
        <w:rPr>
          <w:color w:val="000000" w:themeColor="text1"/>
        </w:rPr>
        <w:t xml:space="preserve">3, 112) = </w:t>
      </w:r>
      <w:r w:rsidR="00645436" w:rsidRPr="00DC6265">
        <w:rPr>
          <w:color w:val="000000" w:themeColor="text1"/>
        </w:rPr>
        <w:t>1.905</w:t>
      </w:r>
      <w:r w:rsidR="53A9F163" w:rsidRPr="00DC6265">
        <w:rPr>
          <w:color w:val="000000" w:themeColor="text1"/>
        </w:rPr>
        <w:t xml:space="preserve">, </w:t>
      </w:r>
      <w:r w:rsidR="53A9F163" w:rsidRPr="00DC6265">
        <w:rPr>
          <w:i/>
          <w:iCs/>
          <w:color w:val="000000" w:themeColor="text1"/>
        </w:rPr>
        <w:t xml:space="preserve">MSE </w:t>
      </w:r>
      <w:r w:rsidR="53A9F163" w:rsidRPr="00DC6265">
        <w:rPr>
          <w:color w:val="000000" w:themeColor="text1"/>
        </w:rPr>
        <w:t>= .</w:t>
      </w:r>
      <w:r w:rsidR="00646172" w:rsidRPr="00DC6265">
        <w:rPr>
          <w:color w:val="000000" w:themeColor="text1"/>
        </w:rPr>
        <w:t>00</w:t>
      </w:r>
      <w:r w:rsidR="00645436" w:rsidRPr="00DC6265">
        <w:rPr>
          <w:color w:val="000000" w:themeColor="text1"/>
        </w:rPr>
        <w:t>6</w:t>
      </w:r>
      <w:r w:rsidR="53A9F163" w:rsidRPr="00DC6265">
        <w:rPr>
          <w:color w:val="000000" w:themeColor="text1"/>
        </w:rPr>
        <w:t xml:space="preserve">, </w:t>
      </w:r>
      <w:r w:rsidR="53A9F163" w:rsidRPr="00DC6265">
        <w:rPr>
          <w:i/>
          <w:iCs/>
          <w:color w:val="000000" w:themeColor="text1"/>
        </w:rPr>
        <w:t>p</w:t>
      </w:r>
      <w:r w:rsidR="53A9F163" w:rsidRPr="00DC6265">
        <w:rPr>
          <w:color w:val="000000" w:themeColor="text1"/>
        </w:rPr>
        <w:t xml:space="preserve"> = .</w:t>
      </w:r>
      <w:r w:rsidR="00645436" w:rsidRPr="00DC6265">
        <w:rPr>
          <w:color w:val="000000" w:themeColor="text1"/>
        </w:rPr>
        <w:t>133</w:t>
      </w:r>
      <w:r w:rsidR="53A9F163" w:rsidRPr="00DC6265">
        <w:rPr>
          <w:color w:val="000000" w:themeColor="text1"/>
        </w:rPr>
        <w:t xml:space="preserve">, </w:t>
      </w:r>
      <w:r w:rsidR="00646172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46172" w:rsidRPr="00DC6265">
        <w:rPr>
          <w:color w:val="000000" w:themeColor="text1"/>
          <w:vertAlign w:val="subscript"/>
          <w:lang w:val="en-US"/>
        </w:rPr>
        <w:t>p</w:t>
      </w:r>
      <w:r w:rsidR="00646172" w:rsidRPr="00DC6265">
        <w:rPr>
          <w:color w:val="000000" w:themeColor="text1"/>
          <w:vertAlign w:val="superscript"/>
          <w:lang w:val="en-US"/>
        </w:rPr>
        <w:t>2</w:t>
      </w:r>
      <w:r w:rsidR="53A9F163" w:rsidRPr="00DC6265">
        <w:rPr>
          <w:color w:val="000000" w:themeColor="text1"/>
        </w:rPr>
        <w:t xml:space="preserve"> = .</w:t>
      </w:r>
      <w:r w:rsidR="00646172" w:rsidRPr="00DC6265">
        <w:rPr>
          <w:color w:val="000000" w:themeColor="text1"/>
        </w:rPr>
        <w:t>0</w:t>
      </w:r>
      <w:r w:rsidR="00645436" w:rsidRPr="00DC6265">
        <w:rPr>
          <w:color w:val="000000" w:themeColor="text1"/>
        </w:rPr>
        <w:t>49</w:t>
      </w:r>
      <w:r w:rsidR="75474B4F" w:rsidRPr="00DC6265">
        <w:rPr>
          <w:color w:val="000000" w:themeColor="text1"/>
        </w:rPr>
        <w:t xml:space="preserve">, or </w:t>
      </w:r>
      <w:r w:rsidR="00EF644F" w:rsidRPr="00DC6265">
        <w:rPr>
          <w:color w:val="000000" w:themeColor="text1"/>
        </w:rPr>
        <w:t>o</w:t>
      </w:r>
      <w:r w:rsidR="75474B4F" w:rsidRPr="00DC6265">
        <w:rPr>
          <w:color w:val="000000" w:themeColor="text1"/>
        </w:rPr>
        <w:t xml:space="preserve">rganisation, </w:t>
      </w:r>
      <w:r w:rsidR="75474B4F" w:rsidRPr="00DC6265">
        <w:rPr>
          <w:i/>
          <w:iCs/>
          <w:color w:val="000000" w:themeColor="text1"/>
        </w:rPr>
        <w:t>F</w:t>
      </w:r>
      <w:r w:rsidR="75474B4F" w:rsidRPr="00DC6265">
        <w:rPr>
          <w:color w:val="000000" w:themeColor="text1"/>
        </w:rPr>
        <w:t>(</w:t>
      </w:r>
      <w:r w:rsidR="045ED7B5" w:rsidRPr="00DC6265">
        <w:rPr>
          <w:color w:val="000000" w:themeColor="text1"/>
        </w:rPr>
        <w:t xml:space="preserve">3, 112) = </w:t>
      </w:r>
      <w:r w:rsidR="00645436" w:rsidRPr="00DC6265">
        <w:rPr>
          <w:color w:val="000000" w:themeColor="text1"/>
        </w:rPr>
        <w:t>1.195</w:t>
      </w:r>
      <w:r w:rsidR="045ED7B5" w:rsidRPr="00DC6265">
        <w:rPr>
          <w:color w:val="000000" w:themeColor="text1"/>
        </w:rPr>
        <w:t xml:space="preserve">, </w:t>
      </w:r>
      <w:r w:rsidR="045ED7B5" w:rsidRPr="00DC6265">
        <w:rPr>
          <w:i/>
          <w:iCs/>
          <w:color w:val="000000" w:themeColor="text1"/>
        </w:rPr>
        <w:t xml:space="preserve">MSE </w:t>
      </w:r>
      <w:r w:rsidR="045ED7B5" w:rsidRPr="00DC6265">
        <w:rPr>
          <w:color w:val="000000" w:themeColor="text1"/>
        </w:rPr>
        <w:t>= .00</w:t>
      </w:r>
      <w:r w:rsidR="00646172" w:rsidRPr="00DC6265">
        <w:rPr>
          <w:color w:val="000000" w:themeColor="text1"/>
        </w:rPr>
        <w:t>3</w:t>
      </w:r>
      <w:r w:rsidR="045ED7B5" w:rsidRPr="00DC6265">
        <w:rPr>
          <w:color w:val="000000" w:themeColor="text1"/>
        </w:rPr>
        <w:t xml:space="preserve">, </w:t>
      </w:r>
      <w:r w:rsidR="045ED7B5" w:rsidRPr="00DC6265">
        <w:rPr>
          <w:i/>
          <w:iCs/>
          <w:color w:val="000000" w:themeColor="text1"/>
        </w:rPr>
        <w:t>p</w:t>
      </w:r>
      <w:r w:rsidR="045ED7B5" w:rsidRPr="00DC6265">
        <w:rPr>
          <w:color w:val="000000" w:themeColor="text1"/>
        </w:rPr>
        <w:t xml:space="preserve"> = .</w:t>
      </w:r>
      <w:r w:rsidR="00645436" w:rsidRPr="00DC6265">
        <w:rPr>
          <w:color w:val="000000" w:themeColor="text1"/>
        </w:rPr>
        <w:t>315</w:t>
      </w:r>
      <w:r w:rsidR="045ED7B5" w:rsidRPr="00DC6265">
        <w:rPr>
          <w:color w:val="000000" w:themeColor="text1"/>
        </w:rPr>
        <w:t xml:space="preserve">, </w:t>
      </w:r>
      <w:r w:rsidR="00646172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46172" w:rsidRPr="00DC6265">
        <w:rPr>
          <w:color w:val="000000" w:themeColor="text1"/>
          <w:vertAlign w:val="subscript"/>
          <w:lang w:val="en-US"/>
        </w:rPr>
        <w:t>p</w:t>
      </w:r>
      <w:r w:rsidR="00646172" w:rsidRPr="00DC6265">
        <w:rPr>
          <w:color w:val="000000" w:themeColor="text1"/>
          <w:vertAlign w:val="superscript"/>
          <w:lang w:val="en-US"/>
        </w:rPr>
        <w:t>2</w:t>
      </w:r>
      <w:r w:rsidR="00646172" w:rsidRPr="00DC6265">
        <w:rPr>
          <w:color w:val="000000" w:themeColor="text1"/>
        </w:rPr>
        <w:t xml:space="preserve"> </w:t>
      </w:r>
      <w:r w:rsidR="045ED7B5" w:rsidRPr="00DC6265">
        <w:rPr>
          <w:color w:val="000000" w:themeColor="text1"/>
        </w:rPr>
        <w:t>= .</w:t>
      </w:r>
      <w:r w:rsidR="00645436" w:rsidRPr="00DC6265">
        <w:rPr>
          <w:color w:val="000000" w:themeColor="text1"/>
        </w:rPr>
        <w:t>031</w:t>
      </w:r>
      <w:r w:rsidR="045ED7B5" w:rsidRPr="00DC6265">
        <w:rPr>
          <w:color w:val="000000" w:themeColor="text1"/>
        </w:rPr>
        <w:t>.</w:t>
      </w:r>
      <w:r w:rsidR="57684FA7" w:rsidRPr="00DC6265">
        <w:rPr>
          <w:color w:val="000000" w:themeColor="text1"/>
        </w:rPr>
        <w:t xml:space="preserve"> The three-way interaction between </w:t>
      </w:r>
      <w:r w:rsidR="00EF644F" w:rsidRPr="00DC6265">
        <w:rPr>
          <w:color w:val="000000" w:themeColor="text1"/>
        </w:rPr>
        <w:t>p</w:t>
      </w:r>
      <w:r w:rsidR="57684FA7" w:rsidRPr="00DC6265">
        <w:rPr>
          <w:color w:val="000000" w:themeColor="text1"/>
        </w:rPr>
        <w:t xml:space="preserve">riming </w:t>
      </w:r>
      <w:r w:rsidR="00EF644F" w:rsidRPr="00DC6265">
        <w:rPr>
          <w:color w:val="000000" w:themeColor="text1"/>
        </w:rPr>
        <w:t>status</w:t>
      </w:r>
      <w:r w:rsidR="57684FA7" w:rsidRPr="00DC6265">
        <w:rPr>
          <w:color w:val="000000" w:themeColor="text1"/>
        </w:rPr>
        <w:t xml:space="preserve">, </w:t>
      </w:r>
      <w:r w:rsidR="00EF644F" w:rsidRPr="00DC6265">
        <w:rPr>
          <w:color w:val="000000" w:themeColor="text1"/>
        </w:rPr>
        <w:t>o</w:t>
      </w:r>
      <w:r w:rsidR="57684FA7" w:rsidRPr="00DC6265">
        <w:rPr>
          <w:color w:val="000000" w:themeColor="text1"/>
        </w:rPr>
        <w:t xml:space="preserve">rganisation and </w:t>
      </w:r>
      <w:r w:rsidR="00EF644F" w:rsidRPr="00DC6265">
        <w:rPr>
          <w:color w:val="000000" w:themeColor="text1"/>
        </w:rPr>
        <w:t>s</w:t>
      </w:r>
      <w:r w:rsidR="57684FA7" w:rsidRPr="00DC6265">
        <w:rPr>
          <w:color w:val="000000" w:themeColor="text1"/>
        </w:rPr>
        <w:t>et was also not signific</w:t>
      </w:r>
      <w:r w:rsidR="6076E28E" w:rsidRPr="00DC6265">
        <w:rPr>
          <w:color w:val="000000" w:themeColor="text1"/>
        </w:rPr>
        <w:t xml:space="preserve">ant, </w:t>
      </w:r>
      <w:proofErr w:type="gramStart"/>
      <w:r w:rsidR="6076E28E" w:rsidRPr="00DC6265">
        <w:rPr>
          <w:i/>
          <w:iCs/>
          <w:color w:val="000000" w:themeColor="text1"/>
        </w:rPr>
        <w:t>F</w:t>
      </w:r>
      <w:r w:rsidR="6076E28E" w:rsidRPr="00DC6265">
        <w:rPr>
          <w:color w:val="000000" w:themeColor="text1"/>
        </w:rPr>
        <w:t>(</w:t>
      </w:r>
      <w:proofErr w:type="gramEnd"/>
      <w:r w:rsidR="452A5F77" w:rsidRPr="00DC6265">
        <w:rPr>
          <w:color w:val="000000" w:themeColor="text1"/>
        </w:rPr>
        <w:t xml:space="preserve">3, 112) = </w:t>
      </w:r>
      <w:r w:rsidR="00646172" w:rsidRPr="00DC6265">
        <w:rPr>
          <w:color w:val="000000" w:themeColor="text1"/>
        </w:rPr>
        <w:t>0.</w:t>
      </w:r>
      <w:r w:rsidR="00645436" w:rsidRPr="00DC6265">
        <w:rPr>
          <w:color w:val="000000" w:themeColor="text1"/>
        </w:rPr>
        <w:t>560</w:t>
      </w:r>
      <w:r w:rsidR="452A5F77" w:rsidRPr="00DC6265">
        <w:rPr>
          <w:color w:val="000000" w:themeColor="text1"/>
        </w:rPr>
        <w:t xml:space="preserve">, </w:t>
      </w:r>
      <w:r w:rsidR="452A5F77" w:rsidRPr="00DC6265">
        <w:rPr>
          <w:i/>
          <w:iCs/>
          <w:color w:val="000000" w:themeColor="text1"/>
        </w:rPr>
        <w:t xml:space="preserve">MSE </w:t>
      </w:r>
      <w:r w:rsidR="452A5F77" w:rsidRPr="00DC6265">
        <w:rPr>
          <w:color w:val="000000" w:themeColor="text1"/>
        </w:rPr>
        <w:t xml:space="preserve">= </w:t>
      </w:r>
      <w:r w:rsidR="00646172" w:rsidRPr="00DC6265">
        <w:rPr>
          <w:color w:val="000000" w:themeColor="text1"/>
        </w:rPr>
        <w:t>0</w:t>
      </w:r>
      <w:r w:rsidR="452A5F77" w:rsidRPr="00DC6265">
        <w:rPr>
          <w:color w:val="000000" w:themeColor="text1"/>
        </w:rPr>
        <w:t>.00</w:t>
      </w:r>
      <w:r w:rsidR="00645436" w:rsidRPr="00DC6265">
        <w:rPr>
          <w:color w:val="000000" w:themeColor="text1"/>
        </w:rPr>
        <w:t>6</w:t>
      </w:r>
      <w:r w:rsidR="452A5F77" w:rsidRPr="00DC6265">
        <w:rPr>
          <w:color w:val="000000" w:themeColor="text1"/>
        </w:rPr>
        <w:t xml:space="preserve">, </w:t>
      </w:r>
      <w:r w:rsidR="452A5F77" w:rsidRPr="00DC6265">
        <w:rPr>
          <w:i/>
          <w:iCs/>
          <w:color w:val="000000" w:themeColor="text1"/>
        </w:rPr>
        <w:t>p</w:t>
      </w:r>
      <w:r w:rsidR="452A5F77" w:rsidRPr="00DC6265">
        <w:rPr>
          <w:color w:val="000000" w:themeColor="text1"/>
        </w:rPr>
        <w:t xml:space="preserve"> = .</w:t>
      </w:r>
      <w:r w:rsidR="00645436" w:rsidRPr="00DC6265">
        <w:rPr>
          <w:color w:val="000000" w:themeColor="text1"/>
        </w:rPr>
        <w:t>642</w:t>
      </w:r>
      <w:r w:rsidR="452A5F77" w:rsidRPr="00DC6265">
        <w:rPr>
          <w:color w:val="000000" w:themeColor="text1"/>
        </w:rPr>
        <w:t xml:space="preserve">, </w:t>
      </w:r>
      <w:r w:rsidR="00645436" w:rsidRPr="00DC6265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45436" w:rsidRPr="00DC6265">
        <w:rPr>
          <w:color w:val="000000" w:themeColor="text1"/>
          <w:vertAlign w:val="subscript"/>
          <w:lang w:val="en-US"/>
        </w:rPr>
        <w:t>p</w:t>
      </w:r>
      <w:r w:rsidR="00645436" w:rsidRPr="00DC6265">
        <w:rPr>
          <w:color w:val="000000" w:themeColor="text1"/>
          <w:vertAlign w:val="superscript"/>
          <w:lang w:val="en-US"/>
        </w:rPr>
        <w:t>2</w:t>
      </w:r>
      <w:r w:rsidR="452A5F77" w:rsidRPr="00DC6265">
        <w:rPr>
          <w:color w:val="000000" w:themeColor="text1"/>
        </w:rPr>
        <w:t xml:space="preserve"> = .0</w:t>
      </w:r>
      <w:r w:rsidR="00646172" w:rsidRPr="00DC6265">
        <w:rPr>
          <w:color w:val="000000" w:themeColor="text1"/>
        </w:rPr>
        <w:t>1</w:t>
      </w:r>
      <w:r w:rsidR="00645436" w:rsidRPr="00DC6265">
        <w:rPr>
          <w:color w:val="000000" w:themeColor="text1"/>
        </w:rPr>
        <w:t>5</w:t>
      </w:r>
      <w:r w:rsidR="452A5F77" w:rsidRPr="00DC6265">
        <w:rPr>
          <w:color w:val="000000" w:themeColor="text1"/>
        </w:rPr>
        <w:t>. Thus</w:t>
      </w:r>
      <w:r w:rsidR="69041B83" w:rsidRPr="00DC6265">
        <w:rPr>
          <w:color w:val="000000" w:themeColor="text1"/>
        </w:rPr>
        <w:t>,</w:t>
      </w:r>
      <w:r w:rsidR="452A5F77" w:rsidRPr="00DC6265">
        <w:rPr>
          <w:color w:val="000000" w:themeColor="text1"/>
        </w:rPr>
        <w:t xml:space="preserve"> the priming effect obser</w:t>
      </w:r>
      <w:r w:rsidR="1833D76A" w:rsidRPr="00DC6265">
        <w:rPr>
          <w:color w:val="000000" w:themeColor="text1"/>
        </w:rPr>
        <w:t xml:space="preserve">ved was consistent across the different </w:t>
      </w:r>
      <w:r w:rsidR="003173D5" w:rsidRPr="00DC6265">
        <w:rPr>
          <w:color w:val="000000" w:themeColor="text1"/>
        </w:rPr>
        <w:t>s</w:t>
      </w:r>
      <w:r w:rsidR="1833D76A" w:rsidRPr="00DC6265">
        <w:rPr>
          <w:color w:val="000000" w:themeColor="text1"/>
        </w:rPr>
        <w:t xml:space="preserve">ets and </w:t>
      </w:r>
      <w:r w:rsidR="003173D5" w:rsidRPr="00DC6265">
        <w:rPr>
          <w:color w:val="000000" w:themeColor="text1"/>
        </w:rPr>
        <w:t>v</w:t>
      </w:r>
      <w:r w:rsidR="1833D76A" w:rsidRPr="00DC6265">
        <w:rPr>
          <w:color w:val="000000" w:themeColor="text1"/>
        </w:rPr>
        <w:t>ersions deployed within the study</w:t>
      </w:r>
      <w:r w:rsidR="60EB1FFB" w:rsidRPr="00DC6265">
        <w:rPr>
          <w:color w:val="000000" w:themeColor="text1"/>
        </w:rPr>
        <w:t xml:space="preserve"> (see Table </w:t>
      </w:r>
      <w:r w:rsidR="00AE7A2F" w:rsidRPr="00DC6265">
        <w:rPr>
          <w:color w:val="000000" w:themeColor="text1"/>
        </w:rPr>
        <w:t>2</w:t>
      </w:r>
      <w:r w:rsidR="60EB1FFB" w:rsidRPr="00DC6265">
        <w:rPr>
          <w:color w:val="000000" w:themeColor="text1"/>
        </w:rPr>
        <w:t>)</w:t>
      </w:r>
      <w:r w:rsidR="1833D76A" w:rsidRPr="00DC6265">
        <w:rPr>
          <w:color w:val="000000" w:themeColor="text1"/>
        </w:rPr>
        <w:t>.</w:t>
      </w:r>
    </w:p>
    <w:p w14:paraId="2608C33D" w14:textId="77777777" w:rsidR="00B166AB" w:rsidRPr="00DC6265" w:rsidRDefault="00B166AB" w:rsidP="002022CB">
      <w:pPr>
        <w:rPr>
          <w:color w:val="000000" w:themeColor="text1"/>
        </w:rPr>
      </w:pPr>
    </w:p>
    <w:p w14:paraId="452A3736" w14:textId="77777777" w:rsidR="00DC6265" w:rsidRDefault="00DC6265" w:rsidP="002022CB">
      <w:pPr>
        <w:rPr>
          <w:color w:val="000000" w:themeColor="text1"/>
        </w:rPr>
      </w:pPr>
    </w:p>
    <w:p w14:paraId="0D37CD96" w14:textId="77777777" w:rsidR="00DC6265" w:rsidRDefault="00DC6265" w:rsidP="002022CB">
      <w:pPr>
        <w:rPr>
          <w:color w:val="000000" w:themeColor="text1"/>
        </w:rPr>
      </w:pPr>
    </w:p>
    <w:p w14:paraId="384E6D0E" w14:textId="77777777" w:rsidR="00DC6265" w:rsidRDefault="00DC6265" w:rsidP="002022CB">
      <w:pPr>
        <w:rPr>
          <w:color w:val="000000" w:themeColor="text1"/>
        </w:rPr>
      </w:pPr>
    </w:p>
    <w:p w14:paraId="028AC1FB" w14:textId="33BA9152" w:rsidR="002022CB" w:rsidRPr="00DC6265" w:rsidRDefault="002022CB" w:rsidP="002022CB">
      <w:pPr>
        <w:rPr>
          <w:color w:val="000000" w:themeColor="text1"/>
        </w:rPr>
      </w:pPr>
      <w:r w:rsidRPr="00DC6265">
        <w:rPr>
          <w:color w:val="000000" w:themeColor="text1"/>
        </w:rPr>
        <w:lastRenderedPageBreak/>
        <w:t xml:space="preserve">Table </w:t>
      </w:r>
      <w:r w:rsidR="00DC6265">
        <w:rPr>
          <w:color w:val="000000" w:themeColor="text1"/>
        </w:rPr>
        <w:t>1</w:t>
      </w:r>
      <w:r w:rsidRPr="00DC6265">
        <w:rPr>
          <w:color w:val="000000" w:themeColor="text1"/>
        </w:rPr>
        <w:t xml:space="preserve">. Mean proportion of primed and </w:t>
      </w:r>
      <w:proofErr w:type="spellStart"/>
      <w:r w:rsidR="00FE63EE" w:rsidRPr="00DC6265">
        <w:rPr>
          <w:color w:val="000000" w:themeColor="text1"/>
        </w:rPr>
        <w:t>u</w:t>
      </w:r>
      <w:r w:rsidR="00581C67" w:rsidRPr="00DC6265">
        <w:rPr>
          <w:color w:val="000000" w:themeColor="text1"/>
        </w:rPr>
        <w:t>n</w:t>
      </w:r>
      <w:r w:rsidRPr="00DC6265">
        <w:rPr>
          <w:color w:val="000000" w:themeColor="text1"/>
        </w:rPr>
        <w:t>primed</w:t>
      </w:r>
      <w:proofErr w:type="spellEnd"/>
      <w:r w:rsidRPr="00DC6265">
        <w:rPr>
          <w:color w:val="000000" w:themeColor="text1"/>
        </w:rPr>
        <w:t xml:space="preserve"> category-exemplars produced as a function of </w:t>
      </w:r>
      <w:r w:rsidR="00FE19B6" w:rsidRPr="00DC6265">
        <w:rPr>
          <w:color w:val="000000" w:themeColor="text1"/>
        </w:rPr>
        <w:t>o</w:t>
      </w:r>
      <w:r w:rsidRPr="00DC6265">
        <w:rPr>
          <w:color w:val="000000" w:themeColor="text1"/>
        </w:rPr>
        <w:t>rganisation</w:t>
      </w:r>
      <w:r w:rsidR="00FE19B6" w:rsidRPr="00DC6265">
        <w:rPr>
          <w:color w:val="000000" w:themeColor="text1"/>
        </w:rPr>
        <w:t>, s</w:t>
      </w:r>
      <w:r w:rsidRPr="00DC6265">
        <w:rPr>
          <w:color w:val="000000" w:themeColor="text1"/>
        </w:rPr>
        <w:t xml:space="preserve">et and </w:t>
      </w:r>
      <w:r w:rsidR="00FE19B6" w:rsidRPr="00DC6265">
        <w:rPr>
          <w:color w:val="000000" w:themeColor="text1"/>
        </w:rPr>
        <w:t>v</w:t>
      </w:r>
      <w:r w:rsidRPr="00DC6265">
        <w:rPr>
          <w:color w:val="000000" w:themeColor="text1"/>
        </w:rPr>
        <w:t>ersion in the experiment. Standard deviations are presented in curved parentheses and standard errors of the mean are presented in square brackets.</w:t>
      </w:r>
    </w:p>
    <w:p w14:paraId="6B8E6A1F" w14:textId="62C78EE8" w:rsidR="5DDFB449" w:rsidRPr="00DC6265" w:rsidRDefault="5DDFB449" w:rsidP="00162B56">
      <w:pPr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1005"/>
        <w:gridCol w:w="1070"/>
        <w:gridCol w:w="945"/>
        <w:gridCol w:w="1058"/>
        <w:gridCol w:w="945"/>
        <w:gridCol w:w="1058"/>
        <w:gridCol w:w="945"/>
        <w:gridCol w:w="1058"/>
      </w:tblGrid>
      <w:tr w:rsidR="00DC6265" w:rsidRPr="003A7D11" w14:paraId="419C8C2B" w14:textId="77777777" w:rsidTr="5DDFB449">
        <w:trPr>
          <w:trHeight w:val="300"/>
        </w:trPr>
        <w:tc>
          <w:tcPr>
            <w:tcW w:w="930" w:type="dxa"/>
          </w:tcPr>
          <w:p w14:paraId="4F911B05" w14:textId="3B726B97" w:rsidR="5DDFB449" w:rsidRPr="003A7D11" w:rsidRDefault="5DDFB449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14:paraId="45F9CA54" w14:textId="13E09B61" w:rsidR="74D01465" w:rsidRPr="003A7D11" w:rsidRDefault="74D01465" w:rsidP="00162B5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1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03" w:type="dxa"/>
            <w:gridSpan w:val="2"/>
          </w:tcPr>
          <w:p w14:paraId="640B357D" w14:textId="3B0EE022" w:rsidR="74D01465" w:rsidRPr="003A7D11" w:rsidRDefault="74D01465" w:rsidP="00162B5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1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003" w:type="dxa"/>
            <w:gridSpan w:val="2"/>
          </w:tcPr>
          <w:p w14:paraId="7679440E" w14:textId="748EB6F1" w:rsidR="74D01465" w:rsidRPr="003A7D11" w:rsidRDefault="74D01465" w:rsidP="00162B5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2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03" w:type="dxa"/>
            <w:gridSpan w:val="2"/>
          </w:tcPr>
          <w:p w14:paraId="61864B0C" w14:textId="43917D2D" w:rsidR="74D01465" w:rsidRPr="003A7D11" w:rsidRDefault="74D01465" w:rsidP="00162B5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2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B</w:t>
            </w:r>
          </w:p>
        </w:tc>
      </w:tr>
      <w:tr w:rsidR="00DC6265" w:rsidRPr="003A7D11" w14:paraId="729D66FB" w14:textId="77777777" w:rsidTr="5DDFB449">
        <w:trPr>
          <w:trHeight w:val="300"/>
        </w:trPr>
        <w:tc>
          <w:tcPr>
            <w:tcW w:w="930" w:type="dxa"/>
          </w:tcPr>
          <w:p w14:paraId="68D41798" w14:textId="0907B286" w:rsidR="5DDFB449" w:rsidRPr="003A7D11" w:rsidRDefault="5DDFB449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E3BF1C7" w14:textId="41B8BF06" w:rsidR="74D01465" w:rsidRPr="003A7D11" w:rsidRDefault="74D01465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Primed</w:t>
            </w:r>
          </w:p>
        </w:tc>
        <w:tc>
          <w:tcPr>
            <w:tcW w:w="1070" w:type="dxa"/>
          </w:tcPr>
          <w:p w14:paraId="724E3BA9" w14:textId="652650A2" w:rsidR="74D01465" w:rsidRPr="003A7D11" w:rsidRDefault="00FE63E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Un</w:t>
            </w:r>
            <w:r w:rsidR="74D01465" w:rsidRPr="003A7D11">
              <w:rPr>
                <w:color w:val="000000" w:themeColor="text1"/>
                <w:sz w:val="20"/>
                <w:szCs w:val="20"/>
              </w:rPr>
              <w:t>primed</w:t>
            </w:r>
            <w:proofErr w:type="spellEnd"/>
          </w:p>
        </w:tc>
        <w:tc>
          <w:tcPr>
            <w:tcW w:w="945" w:type="dxa"/>
          </w:tcPr>
          <w:p w14:paraId="15E7F253" w14:textId="17236FE6" w:rsidR="74D01465" w:rsidRPr="003A7D11" w:rsidRDefault="74D01465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Primed</w:t>
            </w:r>
          </w:p>
        </w:tc>
        <w:tc>
          <w:tcPr>
            <w:tcW w:w="1058" w:type="dxa"/>
          </w:tcPr>
          <w:p w14:paraId="6F868610" w14:textId="09F053E9" w:rsidR="74D01465" w:rsidRPr="003A7D11" w:rsidRDefault="00FE63E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Un</w:t>
            </w:r>
            <w:r w:rsidR="74D01465" w:rsidRPr="003A7D11">
              <w:rPr>
                <w:color w:val="000000" w:themeColor="text1"/>
                <w:sz w:val="20"/>
                <w:szCs w:val="20"/>
              </w:rPr>
              <w:t>primed</w:t>
            </w:r>
            <w:proofErr w:type="spellEnd"/>
          </w:p>
        </w:tc>
        <w:tc>
          <w:tcPr>
            <w:tcW w:w="945" w:type="dxa"/>
          </w:tcPr>
          <w:p w14:paraId="38FC5985" w14:textId="56A68084" w:rsidR="3AC9F6FC" w:rsidRPr="003A7D11" w:rsidRDefault="3AC9F6FC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</w:t>
            </w:r>
            <w:r w:rsidR="74D01465" w:rsidRPr="003A7D11">
              <w:rPr>
                <w:color w:val="000000" w:themeColor="text1"/>
                <w:sz w:val="20"/>
                <w:szCs w:val="20"/>
              </w:rPr>
              <w:t>rimed</w:t>
            </w:r>
          </w:p>
        </w:tc>
        <w:tc>
          <w:tcPr>
            <w:tcW w:w="1058" w:type="dxa"/>
          </w:tcPr>
          <w:p w14:paraId="735E1A48" w14:textId="63CFCB30" w:rsidR="74D01465" w:rsidRPr="003A7D11" w:rsidRDefault="00FE63E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Un</w:t>
            </w:r>
            <w:r w:rsidR="74D01465" w:rsidRPr="003A7D11">
              <w:rPr>
                <w:color w:val="000000" w:themeColor="text1"/>
                <w:sz w:val="20"/>
                <w:szCs w:val="20"/>
              </w:rPr>
              <w:t>primed</w:t>
            </w:r>
            <w:proofErr w:type="spellEnd"/>
          </w:p>
        </w:tc>
        <w:tc>
          <w:tcPr>
            <w:tcW w:w="945" w:type="dxa"/>
          </w:tcPr>
          <w:p w14:paraId="3C34FBEF" w14:textId="1828859D" w:rsidR="74D01465" w:rsidRPr="003A7D11" w:rsidRDefault="74D01465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Primed</w:t>
            </w:r>
          </w:p>
        </w:tc>
        <w:tc>
          <w:tcPr>
            <w:tcW w:w="1058" w:type="dxa"/>
          </w:tcPr>
          <w:p w14:paraId="1EAEADA4" w14:textId="35B2DD76" w:rsidR="74D01465" w:rsidRPr="003A7D11" w:rsidRDefault="00FE63E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Un</w:t>
            </w:r>
            <w:r w:rsidR="74D01465" w:rsidRPr="003A7D11">
              <w:rPr>
                <w:color w:val="000000" w:themeColor="text1"/>
                <w:sz w:val="20"/>
                <w:szCs w:val="20"/>
              </w:rPr>
              <w:t>primed</w:t>
            </w:r>
            <w:proofErr w:type="spellEnd"/>
          </w:p>
        </w:tc>
      </w:tr>
      <w:tr w:rsidR="00DC6265" w:rsidRPr="003A7D11" w14:paraId="3F90C019" w14:textId="77777777" w:rsidTr="5DDFB449">
        <w:trPr>
          <w:trHeight w:val="300"/>
        </w:trPr>
        <w:tc>
          <w:tcPr>
            <w:tcW w:w="930" w:type="dxa"/>
          </w:tcPr>
          <w:p w14:paraId="5A606D0E" w14:textId="77777777" w:rsidR="5DDFB449" w:rsidRPr="003A7D11" w:rsidRDefault="5DDFB449" w:rsidP="002A3628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Blocked</w:t>
            </w:r>
          </w:p>
          <w:p w14:paraId="0AC782C5" w14:textId="307C28F6" w:rsidR="00DB331D" w:rsidRPr="003A7D11" w:rsidRDefault="00DB331D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Present-</w:t>
            </w: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1005" w:type="dxa"/>
          </w:tcPr>
          <w:p w14:paraId="11E2B157" w14:textId="17463D27" w:rsidR="00645436" w:rsidRPr="003A7D11" w:rsidRDefault="313731F3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83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066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B9681E7" w14:textId="644BB003" w:rsidR="313731F3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[.017]</w:t>
            </w:r>
          </w:p>
        </w:tc>
        <w:tc>
          <w:tcPr>
            <w:tcW w:w="1070" w:type="dxa"/>
          </w:tcPr>
          <w:p w14:paraId="098FC9E0" w14:textId="46AC5608" w:rsidR="00645436" w:rsidRPr="003A7D11" w:rsidRDefault="6B90E336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.11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8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54)</w:t>
            </w:r>
          </w:p>
          <w:p w14:paraId="0102E9D9" w14:textId="782B502C" w:rsidR="6B90E336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014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5775B821" w14:textId="30AFA39E" w:rsidR="00645436" w:rsidRPr="003A7D11" w:rsidRDefault="787BE161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221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135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05B7C3FF" w14:textId="77EEBBF2" w:rsidR="787BE161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[.035]</w:t>
            </w:r>
          </w:p>
        </w:tc>
        <w:tc>
          <w:tcPr>
            <w:tcW w:w="1058" w:type="dxa"/>
          </w:tcPr>
          <w:p w14:paraId="598F5C42" w14:textId="3D01A6E3" w:rsidR="00645436" w:rsidRPr="003A7D11" w:rsidRDefault="02965D3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5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33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1382622F" w14:textId="5318A2CA" w:rsidR="02965D3E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009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6B365959" w14:textId="732A06B5" w:rsidR="00645436" w:rsidRPr="003A7D11" w:rsidRDefault="4369C139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234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128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C03A9D4" w14:textId="56D1C419" w:rsidR="4369C139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[.033]</w:t>
            </w:r>
          </w:p>
        </w:tc>
        <w:tc>
          <w:tcPr>
            <w:tcW w:w="1058" w:type="dxa"/>
          </w:tcPr>
          <w:p w14:paraId="04569B6E" w14:textId="77777777" w:rsidR="00645436" w:rsidRPr="003A7D11" w:rsidRDefault="29C6FFB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121</w:t>
            </w:r>
          </w:p>
          <w:p w14:paraId="3C7E40D8" w14:textId="485CC5F4" w:rsidR="00645436" w:rsidRPr="003A7D11" w:rsidRDefault="29C6FFB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33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B608929" w14:textId="03E0795B" w:rsidR="29C6FFBE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009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545E36A6" w14:textId="6904AD30" w:rsidR="00645436" w:rsidRPr="003A7D11" w:rsidRDefault="5F127BB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72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7</w:t>
            </w:r>
            <w:r w:rsidRPr="003A7D11">
              <w:rPr>
                <w:color w:val="000000" w:themeColor="text1"/>
                <w:sz w:val="20"/>
                <w:szCs w:val="20"/>
              </w:rPr>
              <w:t>4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6B4730D8" w14:textId="7374FCED" w:rsidR="5F127BB2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[.019]</w:t>
            </w:r>
          </w:p>
        </w:tc>
        <w:tc>
          <w:tcPr>
            <w:tcW w:w="1058" w:type="dxa"/>
          </w:tcPr>
          <w:p w14:paraId="5C7CC487" w14:textId="6A17FEEA" w:rsidR="00645436" w:rsidRPr="003A7D11" w:rsidRDefault="09197257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 xml:space="preserve">117 </w:t>
            </w:r>
            <w:r w:rsidRPr="003A7D11">
              <w:rPr>
                <w:color w:val="000000" w:themeColor="text1"/>
                <w:sz w:val="20"/>
                <w:szCs w:val="20"/>
              </w:rPr>
              <w:t>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66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32D58F46" w14:textId="31F66FF4" w:rsidR="09197257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017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</w:tr>
      <w:tr w:rsidR="00DC6265" w:rsidRPr="003A7D11" w14:paraId="0B0A9411" w14:textId="77777777" w:rsidTr="5DDFB449">
        <w:trPr>
          <w:trHeight w:val="300"/>
        </w:trPr>
        <w:tc>
          <w:tcPr>
            <w:tcW w:w="930" w:type="dxa"/>
          </w:tcPr>
          <w:p w14:paraId="6C733DD8" w14:textId="77777777" w:rsidR="5DDFB449" w:rsidRPr="003A7D11" w:rsidRDefault="5DDFB449" w:rsidP="002A3628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Random</w:t>
            </w:r>
          </w:p>
          <w:p w14:paraId="55B9F841" w14:textId="3DD913BA" w:rsidR="00DB331D" w:rsidRPr="003A7D11" w:rsidRDefault="00DB331D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Present-</w:t>
            </w:r>
            <w:proofErr w:type="spellStart"/>
            <w:r w:rsidRPr="003A7D11">
              <w:rPr>
                <w:color w:val="000000" w:themeColor="text1"/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1005" w:type="dxa"/>
          </w:tcPr>
          <w:p w14:paraId="3156E478" w14:textId="5631BB28" w:rsidR="00645436" w:rsidRPr="003A7D11" w:rsidRDefault="782A75C3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.14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2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50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6897D893" w14:textId="27044ED7" w:rsidR="782A75C3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[.013]</w:t>
            </w:r>
          </w:p>
        </w:tc>
        <w:tc>
          <w:tcPr>
            <w:tcW w:w="1070" w:type="dxa"/>
          </w:tcPr>
          <w:p w14:paraId="4A91B75B" w14:textId="299268AE" w:rsidR="00645436" w:rsidRPr="003A7D11" w:rsidRDefault="3B0F85AB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20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(.02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6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20207BD" w14:textId="1F17BD08" w:rsidR="3B0F85AB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007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76F30EF6" w14:textId="6CBBA2C9" w:rsidR="00645436" w:rsidRPr="003A7D11" w:rsidRDefault="0FE44990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132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(.058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54F1672A" w14:textId="7560F2C6" w:rsidR="0FE44990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[.015]</w:t>
            </w:r>
          </w:p>
        </w:tc>
        <w:tc>
          <w:tcPr>
            <w:tcW w:w="1058" w:type="dxa"/>
          </w:tcPr>
          <w:p w14:paraId="11D21EF7" w14:textId="234E9C94" w:rsidR="00645436" w:rsidRPr="003A7D11" w:rsidRDefault="3B1137B7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4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(.03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4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0894DC00" w14:textId="4BF01598" w:rsidR="3B1137B7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009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4105C8EB" w14:textId="54793864" w:rsidR="00645436" w:rsidRPr="003A7D11" w:rsidRDefault="6A7FA335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151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56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925DCBE" w14:textId="318421C2" w:rsidR="6A7FA335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[.014]</w:t>
            </w:r>
          </w:p>
        </w:tc>
        <w:tc>
          <w:tcPr>
            <w:tcW w:w="1058" w:type="dxa"/>
          </w:tcPr>
          <w:p w14:paraId="4C2DE6E5" w14:textId="350FD3BD" w:rsidR="00645436" w:rsidRPr="003A7D11" w:rsidRDefault="37A20C55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153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40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7A8B1A52" w14:textId="31ACD7C9" w:rsidR="37A20C55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010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45" w:type="dxa"/>
          </w:tcPr>
          <w:p w14:paraId="7BF6B464" w14:textId="77777777" w:rsidR="00645436" w:rsidRPr="003A7D11" w:rsidRDefault="1678D66F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.121 (.05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3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04389DB0" w14:textId="5F712BF0" w:rsidR="1678D66F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[.014]</w:t>
            </w:r>
          </w:p>
        </w:tc>
        <w:tc>
          <w:tcPr>
            <w:tcW w:w="1058" w:type="dxa"/>
          </w:tcPr>
          <w:p w14:paraId="3A03E35B" w14:textId="13AF74AD" w:rsidR="00645436" w:rsidRPr="003A7D11" w:rsidRDefault="7D9418AE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.12</w:t>
            </w:r>
            <w:r w:rsidR="00646172" w:rsidRPr="003A7D11">
              <w:rPr>
                <w:color w:val="000000" w:themeColor="text1"/>
                <w:sz w:val="20"/>
                <w:szCs w:val="20"/>
              </w:rPr>
              <w:t>2</w:t>
            </w:r>
            <w:r w:rsidRPr="003A7D11">
              <w:rPr>
                <w:color w:val="000000" w:themeColor="text1"/>
                <w:sz w:val="20"/>
                <w:szCs w:val="20"/>
              </w:rPr>
              <w:t xml:space="preserve"> (.033</w:t>
            </w:r>
            <w:r w:rsidR="00645436" w:rsidRPr="003A7D11">
              <w:rPr>
                <w:color w:val="000000" w:themeColor="text1"/>
                <w:sz w:val="20"/>
                <w:szCs w:val="20"/>
              </w:rPr>
              <w:t>)</w:t>
            </w:r>
          </w:p>
          <w:p w14:paraId="1F82356E" w14:textId="3D8F5297" w:rsidR="7D9418AE" w:rsidRPr="003A7D11" w:rsidRDefault="006461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</w:t>
            </w:r>
            <w:r w:rsidR="00B25B72" w:rsidRPr="003A7D11">
              <w:rPr>
                <w:color w:val="000000" w:themeColor="text1"/>
                <w:sz w:val="20"/>
                <w:szCs w:val="20"/>
              </w:rPr>
              <w:t>009</w:t>
            </w:r>
            <w:r w:rsidRPr="003A7D11">
              <w:rPr>
                <w:color w:val="000000" w:themeColor="text1"/>
                <w:sz w:val="20"/>
                <w:szCs w:val="20"/>
              </w:rPr>
              <w:t>]</w:t>
            </w:r>
          </w:p>
        </w:tc>
      </w:tr>
    </w:tbl>
    <w:p w14:paraId="33568D56" w14:textId="6E45A0B8" w:rsidR="002022CB" w:rsidRPr="004D7547" w:rsidRDefault="002022CB" w:rsidP="5DDFB449">
      <w:pPr>
        <w:spacing w:line="480" w:lineRule="auto"/>
        <w:rPr>
          <w:color w:val="00B050"/>
        </w:rPr>
      </w:pPr>
    </w:p>
    <w:p w14:paraId="6D8294B5" w14:textId="56BCAF52" w:rsidR="00B25B72" w:rsidRPr="00560F5D" w:rsidRDefault="52F0459E" w:rsidP="00B25B72">
      <w:pPr>
        <w:spacing w:line="480" w:lineRule="auto"/>
        <w:ind w:firstLine="720"/>
        <w:rPr>
          <w:color w:val="000000" w:themeColor="text1"/>
        </w:rPr>
      </w:pPr>
      <w:r w:rsidRPr="00560F5D">
        <w:rPr>
          <w:color w:val="000000" w:themeColor="text1"/>
        </w:rPr>
        <w:t xml:space="preserve">Another way of determining priming that is </w:t>
      </w:r>
      <w:r w:rsidRPr="00560F5D">
        <w:rPr>
          <w:i/>
          <w:iCs/>
          <w:color w:val="000000" w:themeColor="text1"/>
        </w:rPr>
        <w:t>independent</w:t>
      </w:r>
      <w:r w:rsidRPr="00560F5D">
        <w:rPr>
          <w:color w:val="000000" w:themeColor="text1"/>
        </w:rPr>
        <w:t xml:space="preserve"> of </w:t>
      </w:r>
      <w:r w:rsidR="7102EAD5" w:rsidRPr="00560F5D">
        <w:rPr>
          <w:color w:val="000000" w:themeColor="text1"/>
        </w:rPr>
        <w:t xml:space="preserve">computing </w:t>
      </w:r>
      <w:r w:rsidRPr="00560F5D">
        <w:rPr>
          <w:color w:val="000000" w:themeColor="text1"/>
        </w:rPr>
        <w:t>priming</w:t>
      </w:r>
      <w:r w:rsidR="784590DC" w:rsidRPr="00560F5D">
        <w:rPr>
          <w:color w:val="000000" w:themeColor="text1"/>
        </w:rPr>
        <w:t xml:space="preserve"> based on the proportion of </w:t>
      </w:r>
      <w:proofErr w:type="spellStart"/>
      <w:r w:rsidR="006A2EC4">
        <w:rPr>
          <w:color w:val="000000" w:themeColor="text1"/>
        </w:rPr>
        <w:t>un</w:t>
      </w:r>
      <w:r w:rsidR="784590DC" w:rsidRPr="00560F5D">
        <w:rPr>
          <w:color w:val="000000" w:themeColor="text1"/>
        </w:rPr>
        <w:t>primed</w:t>
      </w:r>
      <w:proofErr w:type="spellEnd"/>
      <w:r w:rsidR="784590DC" w:rsidRPr="00560F5D">
        <w:rPr>
          <w:color w:val="000000" w:themeColor="text1"/>
        </w:rPr>
        <w:t xml:space="preserve"> and primed category-exemplars </w:t>
      </w:r>
      <w:r w:rsidR="784590DC" w:rsidRPr="00560F5D">
        <w:rPr>
          <w:i/>
          <w:iCs/>
          <w:color w:val="000000" w:themeColor="text1"/>
        </w:rPr>
        <w:t>within</w:t>
      </w:r>
      <w:r w:rsidR="784590DC" w:rsidRPr="00560F5D">
        <w:rPr>
          <w:color w:val="000000" w:themeColor="text1"/>
        </w:rPr>
        <w:t xml:space="preserve"> </w:t>
      </w:r>
      <w:r w:rsidRPr="00560F5D">
        <w:rPr>
          <w:color w:val="000000" w:themeColor="text1"/>
        </w:rPr>
        <w:t xml:space="preserve">a category, is to compare </w:t>
      </w:r>
      <w:r w:rsidR="00B25B72" w:rsidRPr="00560F5D">
        <w:rPr>
          <w:color w:val="000000" w:themeColor="text1"/>
        </w:rPr>
        <w:t xml:space="preserve">the </w:t>
      </w:r>
      <w:r w:rsidRPr="00560F5D">
        <w:rPr>
          <w:color w:val="000000" w:themeColor="text1"/>
        </w:rPr>
        <w:t>production frequencies</w:t>
      </w:r>
      <w:r w:rsidR="00B25B72" w:rsidRPr="00560F5D">
        <w:rPr>
          <w:color w:val="000000" w:themeColor="text1"/>
        </w:rPr>
        <w:t xml:space="preserve"> of primed category-exemplars with a matched set of category-exemplars from different categories</w:t>
      </w:r>
      <w:r w:rsidR="00A07AF9">
        <w:rPr>
          <w:color w:val="000000" w:themeColor="text1"/>
        </w:rPr>
        <w:t>,</w:t>
      </w:r>
      <w:r w:rsidR="00B25B72" w:rsidRPr="00560F5D">
        <w:rPr>
          <w:color w:val="000000" w:themeColor="text1"/>
        </w:rPr>
        <w:t xml:space="preserve"> whereby neither the category, nor exemplars, were previously experienced as distractor material</w:t>
      </w:r>
      <w:r w:rsidR="00A07AF9">
        <w:rPr>
          <w:color w:val="000000" w:themeColor="text1"/>
        </w:rPr>
        <w:t>s</w:t>
      </w:r>
      <w:r w:rsidR="00B25B72" w:rsidRPr="00560F5D">
        <w:rPr>
          <w:color w:val="000000" w:themeColor="text1"/>
        </w:rPr>
        <w:t xml:space="preserve"> (</w:t>
      </w:r>
      <w:r w:rsidR="007465B7">
        <w:rPr>
          <w:color w:val="000000" w:themeColor="text1"/>
        </w:rPr>
        <w:t xml:space="preserve">henceforth called “non-primed”; </w:t>
      </w:r>
      <w:r w:rsidR="00B25B72" w:rsidRPr="00560F5D">
        <w:rPr>
          <w:color w:val="000000" w:themeColor="text1"/>
        </w:rPr>
        <w:t>thus</w:t>
      </w:r>
      <w:r w:rsidR="00323998">
        <w:rPr>
          <w:color w:val="000000" w:themeColor="text1"/>
        </w:rPr>
        <w:t>,</w:t>
      </w:r>
      <w:r w:rsidR="00B25B72" w:rsidRPr="00560F5D">
        <w:rPr>
          <w:color w:val="000000" w:themeColor="text1"/>
        </w:rPr>
        <w:t xml:space="preserve"> the comparison is </w:t>
      </w:r>
      <w:r w:rsidR="00B25B72" w:rsidRPr="00560F5D">
        <w:rPr>
          <w:i/>
          <w:iCs/>
          <w:color w:val="000000" w:themeColor="text1"/>
        </w:rPr>
        <w:t>between</w:t>
      </w:r>
      <w:r w:rsidR="00B25B72" w:rsidRPr="00560F5D">
        <w:rPr>
          <w:color w:val="000000" w:themeColor="text1"/>
        </w:rPr>
        <w:t xml:space="preserve"> categories). For example, if a participant ignored category-exemplars from Set 1A, the production frequency of those category-exemplars is compared against the production frequency of category-exemplars from Set 2A and Set 2B.</w:t>
      </w:r>
    </w:p>
    <w:p w14:paraId="7CEA6ACB" w14:textId="40A6AB04" w:rsidR="00B25B72" w:rsidRPr="00560F5D" w:rsidRDefault="00B25B72" w:rsidP="5DDFB449">
      <w:pPr>
        <w:spacing w:line="480" w:lineRule="auto"/>
        <w:ind w:firstLine="720"/>
        <w:rPr>
          <w:color w:val="000000" w:themeColor="text1"/>
        </w:rPr>
      </w:pPr>
      <w:r w:rsidRPr="00560F5D">
        <w:rPr>
          <w:color w:val="000000" w:themeColor="text1"/>
        </w:rPr>
        <w:t>A 2</w:t>
      </w:r>
      <w:r w:rsidR="002E2E55">
        <w:rPr>
          <w:color w:val="000000" w:themeColor="text1"/>
        </w:rPr>
        <w:t xml:space="preserve"> </w:t>
      </w:r>
      <w:r w:rsidRPr="00560F5D">
        <w:rPr>
          <w:color w:val="000000" w:themeColor="text1"/>
        </w:rPr>
        <w:t>(</w:t>
      </w:r>
      <w:r w:rsidR="00C22490">
        <w:rPr>
          <w:color w:val="000000" w:themeColor="text1"/>
        </w:rPr>
        <w:t>o</w:t>
      </w:r>
      <w:r w:rsidRPr="00560F5D">
        <w:rPr>
          <w:color w:val="000000" w:themeColor="text1"/>
        </w:rPr>
        <w:t xml:space="preserve">rganisation: </w:t>
      </w:r>
      <w:r w:rsidR="00C22490">
        <w:rPr>
          <w:color w:val="000000" w:themeColor="text1"/>
        </w:rPr>
        <w:t>b</w:t>
      </w:r>
      <w:r w:rsidRPr="00560F5D">
        <w:rPr>
          <w:color w:val="000000" w:themeColor="text1"/>
        </w:rPr>
        <w:t xml:space="preserve">locked vs. </w:t>
      </w:r>
      <w:r w:rsidR="00C22490">
        <w:rPr>
          <w:color w:val="000000" w:themeColor="text1"/>
        </w:rPr>
        <w:t>r</w:t>
      </w:r>
      <w:r w:rsidR="00C22490" w:rsidRPr="00560F5D">
        <w:rPr>
          <w:color w:val="000000" w:themeColor="text1"/>
        </w:rPr>
        <w:t>andom</w:t>
      </w:r>
      <w:r w:rsidR="00C22490">
        <w:rPr>
          <w:color w:val="000000" w:themeColor="text1"/>
        </w:rPr>
        <w:t xml:space="preserve"> presentation</w:t>
      </w:r>
      <w:r w:rsidRPr="00560F5D">
        <w:rPr>
          <w:color w:val="000000" w:themeColor="text1"/>
        </w:rPr>
        <w:t xml:space="preserve">) × </w:t>
      </w:r>
      <w:r w:rsidR="006A37FD" w:rsidRPr="00560F5D">
        <w:rPr>
          <w:color w:val="000000" w:themeColor="text1"/>
        </w:rPr>
        <w:t>3</w:t>
      </w:r>
      <w:r w:rsidR="00C22490">
        <w:rPr>
          <w:color w:val="000000" w:themeColor="text1"/>
        </w:rPr>
        <w:t xml:space="preserve"> </w:t>
      </w:r>
      <w:r w:rsidRPr="00560F5D">
        <w:rPr>
          <w:color w:val="000000" w:themeColor="text1"/>
        </w:rPr>
        <w:t>(</w:t>
      </w:r>
      <w:r w:rsidR="00C22490">
        <w:rPr>
          <w:color w:val="000000" w:themeColor="text1"/>
        </w:rPr>
        <w:t>p</w:t>
      </w:r>
      <w:r w:rsidR="00C22490" w:rsidRPr="00560F5D">
        <w:rPr>
          <w:color w:val="000000" w:themeColor="text1"/>
        </w:rPr>
        <w:t xml:space="preserve">riming </w:t>
      </w:r>
      <w:r w:rsidR="00C22490">
        <w:rPr>
          <w:color w:val="000000" w:themeColor="text1"/>
        </w:rPr>
        <w:t>s</w:t>
      </w:r>
      <w:r w:rsidR="00C22490" w:rsidRPr="00560F5D">
        <w:rPr>
          <w:color w:val="000000" w:themeColor="text1"/>
        </w:rPr>
        <w:t>tatus</w:t>
      </w:r>
      <w:r w:rsidRPr="00560F5D">
        <w:rPr>
          <w:color w:val="000000" w:themeColor="text1"/>
        </w:rPr>
        <w:t xml:space="preserve">: </w:t>
      </w:r>
      <w:r w:rsidR="00C22490">
        <w:rPr>
          <w:color w:val="000000" w:themeColor="text1"/>
        </w:rPr>
        <w:t>p</w:t>
      </w:r>
      <w:r w:rsidR="00C22490" w:rsidRPr="00560F5D">
        <w:rPr>
          <w:color w:val="000000" w:themeColor="text1"/>
        </w:rPr>
        <w:t xml:space="preserve">rimed </w:t>
      </w:r>
      <w:r w:rsidRPr="00560F5D">
        <w:rPr>
          <w:color w:val="000000" w:themeColor="text1"/>
        </w:rPr>
        <w:t xml:space="preserve">vs. </w:t>
      </w:r>
      <w:r w:rsidR="00C22490">
        <w:rPr>
          <w:color w:val="000000" w:themeColor="text1"/>
        </w:rPr>
        <w:t>non</w:t>
      </w:r>
      <w:r w:rsidR="00A62FAE">
        <w:rPr>
          <w:color w:val="000000" w:themeColor="text1"/>
        </w:rPr>
        <w:t>-</w:t>
      </w:r>
      <w:r w:rsidR="00C22490">
        <w:rPr>
          <w:color w:val="000000" w:themeColor="text1"/>
        </w:rPr>
        <w:t>p</w:t>
      </w:r>
      <w:r w:rsidR="00A62FAE">
        <w:rPr>
          <w:color w:val="000000" w:themeColor="text1"/>
        </w:rPr>
        <w:t xml:space="preserve">rimed </w:t>
      </w:r>
      <w:r w:rsidR="00C22490">
        <w:rPr>
          <w:color w:val="000000" w:themeColor="text1"/>
        </w:rPr>
        <w:t>c</w:t>
      </w:r>
      <w:r w:rsidRPr="00560F5D">
        <w:rPr>
          <w:color w:val="000000" w:themeColor="text1"/>
        </w:rPr>
        <w:t xml:space="preserve">ontrol Version A, </w:t>
      </w:r>
      <w:r w:rsidR="00C22490">
        <w:rPr>
          <w:color w:val="000000" w:themeColor="text1"/>
        </w:rPr>
        <w:t>c</w:t>
      </w:r>
      <w:r w:rsidRPr="00560F5D">
        <w:rPr>
          <w:color w:val="000000" w:themeColor="text1"/>
        </w:rPr>
        <w:t xml:space="preserve">ontrol Version B) mixed analysis of variance revealed a main effect of </w:t>
      </w:r>
      <w:r w:rsidR="00CE4D97">
        <w:rPr>
          <w:color w:val="000000" w:themeColor="text1"/>
        </w:rPr>
        <w:t>p</w:t>
      </w:r>
      <w:r w:rsidR="00CE4D97" w:rsidRPr="00560F5D">
        <w:rPr>
          <w:color w:val="000000" w:themeColor="text1"/>
        </w:rPr>
        <w:t xml:space="preserve">riming </w:t>
      </w:r>
      <w:r w:rsidR="00CE4D97">
        <w:rPr>
          <w:color w:val="000000" w:themeColor="text1"/>
        </w:rPr>
        <w:t>s</w:t>
      </w:r>
      <w:r w:rsidR="00CE4D97" w:rsidRPr="00560F5D">
        <w:rPr>
          <w:color w:val="000000" w:themeColor="text1"/>
        </w:rPr>
        <w:t>tatus</w:t>
      </w:r>
      <w:r w:rsidRPr="00560F5D">
        <w:rPr>
          <w:color w:val="000000" w:themeColor="text1"/>
        </w:rPr>
        <w:t xml:space="preserve">, </w:t>
      </w:r>
      <w:proofErr w:type="gramStart"/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>(</w:t>
      </w:r>
      <w:proofErr w:type="gramEnd"/>
      <w:r w:rsidRPr="00560F5D">
        <w:rPr>
          <w:color w:val="000000" w:themeColor="text1"/>
        </w:rPr>
        <w:t xml:space="preserve">2, 236) = 20.393, </w:t>
      </w:r>
      <w:r w:rsidRPr="00560F5D">
        <w:rPr>
          <w:i/>
          <w:iCs/>
          <w:color w:val="000000" w:themeColor="text1"/>
        </w:rPr>
        <w:t xml:space="preserve">MSE </w:t>
      </w:r>
      <w:r w:rsidRPr="00560F5D">
        <w:rPr>
          <w:color w:val="000000" w:themeColor="text1"/>
        </w:rPr>
        <w:t xml:space="preserve">= 0.004,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&lt; .001,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.147. There was also a main effect of </w:t>
      </w:r>
      <w:r w:rsidR="00CE4D97">
        <w:rPr>
          <w:color w:val="000000" w:themeColor="text1"/>
        </w:rPr>
        <w:t>o</w:t>
      </w:r>
      <w:r w:rsidRPr="00560F5D">
        <w:rPr>
          <w:color w:val="000000" w:themeColor="text1"/>
        </w:rPr>
        <w:t xml:space="preserve">rganisation, </w:t>
      </w:r>
      <w:proofErr w:type="gramStart"/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>(</w:t>
      </w:r>
      <w:proofErr w:type="gramEnd"/>
      <w:r w:rsidRPr="00560F5D">
        <w:rPr>
          <w:color w:val="000000" w:themeColor="text1"/>
        </w:rPr>
        <w:t xml:space="preserve">1, 118) = 12.901, </w:t>
      </w:r>
      <w:r w:rsidRPr="00560F5D">
        <w:rPr>
          <w:i/>
          <w:iCs/>
          <w:color w:val="000000" w:themeColor="text1"/>
        </w:rPr>
        <w:t xml:space="preserve">MSE </w:t>
      </w:r>
      <w:r w:rsidRPr="00560F5D">
        <w:rPr>
          <w:color w:val="000000" w:themeColor="text1"/>
        </w:rPr>
        <w:t xml:space="preserve">= 0.004,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&lt; .001,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.099. Crucially, there was a significant </w:t>
      </w:r>
      <w:r w:rsidR="00CE4D97">
        <w:rPr>
          <w:color w:val="000000" w:themeColor="text1"/>
        </w:rPr>
        <w:t>p</w:t>
      </w:r>
      <w:r w:rsidRPr="00560F5D">
        <w:rPr>
          <w:color w:val="000000" w:themeColor="text1"/>
        </w:rPr>
        <w:t xml:space="preserve">riming </w:t>
      </w:r>
      <w:r w:rsidR="00CE4D97">
        <w:rPr>
          <w:color w:val="000000" w:themeColor="text1"/>
        </w:rPr>
        <w:t>s</w:t>
      </w:r>
      <w:r w:rsidR="00CE4D97" w:rsidRPr="00560F5D">
        <w:rPr>
          <w:color w:val="000000" w:themeColor="text1"/>
        </w:rPr>
        <w:t xml:space="preserve">tatus </w:t>
      </w:r>
      <w:r w:rsidRPr="00560F5D">
        <w:rPr>
          <w:color w:val="000000" w:themeColor="text1"/>
        </w:rPr>
        <w:t xml:space="preserve">× </w:t>
      </w:r>
      <w:r w:rsidR="00CE4D97">
        <w:rPr>
          <w:color w:val="000000" w:themeColor="text1"/>
        </w:rPr>
        <w:t>o</w:t>
      </w:r>
      <w:r w:rsidRPr="00560F5D">
        <w:rPr>
          <w:color w:val="000000" w:themeColor="text1"/>
        </w:rPr>
        <w:t xml:space="preserve">rganisation interaction, </w:t>
      </w:r>
      <w:proofErr w:type="gramStart"/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>(</w:t>
      </w:r>
      <w:proofErr w:type="gramEnd"/>
      <w:r w:rsidRPr="00560F5D">
        <w:rPr>
          <w:color w:val="000000" w:themeColor="text1"/>
        </w:rPr>
        <w:t xml:space="preserve">2, 236) = 11.313, </w:t>
      </w:r>
      <w:r w:rsidRPr="00560F5D">
        <w:rPr>
          <w:i/>
          <w:iCs/>
          <w:color w:val="000000" w:themeColor="text1"/>
        </w:rPr>
        <w:t>MSE</w:t>
      </w:r>
      <w:r w:rsidRPr="00560F5D">
        <w:rPr>
          <w:color w:val="000000" w:themeColor="text1"/>
        </w:rPr>
        <w:t xml:space="preserve"> = .004,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&lt; .001,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.087. For the blocked </w:t>
      </w:r>
      <w:r w:rsidR="00CE4D97">
        <w:rPr>
          <w:color w:val="000000" w:themeColor="text1"/>
        </w:rPr>
        <w:t xml:space="preserve">presentation </w:t>
      </w:r>
      <w:r w:rsidRPr="00560F5D">
        <w:rPr>
          <w:color w:val="000000" w:themeColor="text1"/>
        </w:rPr>
        <w:t xml:space="preserve">condition, simple effects analysis (LSD) revealed a significant difference between primed and </w:t>
      </w:r>
      <w:r w:rsidR="00A62FAE">
        <w:rPr>
          <w:color w:val="000000" w:themeColor="text1"/>
        </w:rPr>
        <w:t xml:space="preserve">non-primed </w:t>
      </w:r>
      <w:r w:rsidR="00772229">
        <w:rPr>
          <w:color w:val="000000" w:themeColor="text1"/>
        </w:rPr>
        <w:t>V</w:t>
      </w:r>
      <w:r w:rsidRPr="00560F5D">
        <w:rPr>
          <w:color w:val="000000" w:themeColor="text1"/>
        </w:rPr>
        <w:t xml:space="preserve">ersion A control, </w:t>
      </w:r>
      <w:r w:rsidR="006A37FD" w:rsidRPr="00560F5D">
        <w:rPr>
          <w:i/>
          <w:iCs/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 &lt; .001, </w:t>
      </w:r>
      <w:r w:rsidRPr="00560F5D">
        <w:rPr>
          <w:color w:val="000000" w:themeColor="text1"/>
        </w:rPr>
        <w:t>95% CI [.047, .094],</w:t>
      </w:r>
      <w:r w:rsidR="006A37FD" w:rsidRPr="00560F5D">
        <w:rPr>
          <w:color w:val="000000" w:themeColor="text1"/>
        </w:rPr>
        <w:t xml:space="preserve"> Cohen’s </w:t>
      </w:r>
      <w:proofErr w:type="spellStart"/>
      <w:r w:rsidR="006A37FD" w:rsidRPr="00560F5D">
        <w:rPr>
          <w:i/>
          <w:iCs/>
          <w:color w:val="000000" w:themeColor="text1"/>
        </w:rPr>
        <w:t>dz</w:t>
      </w:r>
      <w:proofErr w:type="spellEnd"/>
      <w:r w:rsidR="006A37FD" w:rsidRPr="00560F5D">
        <w:rPr>
          <w:color w:val="000000" w:themeColor="text1"/>
        </w:rPr>
        <w:t xml:space="preserve"> = 0.</w:t>
      </w:r>
      <w:r w:rsidR="006A37FD" w:rsidRPr="00C92BD4">
        <w:rPr>
          <w:color w:val="000000" w:themeColor="text1"/>
        </w:rPr>
        <w:t>647, BF</w:t>
      </w:r>
      <w:r w:rsidR="006A37FD" w:rsidRPr="00C92BD4">
        <w:rPr>
          <w:color w:val="000000" w:themeColor="text1"/>
          <w:vertAlign w:val="subscript"/>
        </w:rPr>
        <w:t>1</w:t>
      </w:r>
      <w:r w:rsidR="00C92BD4" w:rsidRPr="00C92BD4">
        <w:rPr>
          <w:color w:val="000000" w:themeColor="text1"/>
          <w:vertAlign w:val="subscript"/>
        </w:rPr>
        <w:t>0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3349</w:t>
      </w:r>
      <w:r w:rsidR="006A37FD" w:rsidRPr="00C92BD4">
        <w:rPr>
          <w:color w:val="000000" w:themeColor="text1"/>
        </w:rPr>
        <w:t>.</w:t>
      </w:r>
      <w:r w:rsidR="00C92BD4" w:rsidRPr="00C92BD4">
        <w:rPr>
          <w:color w:val="000000" w:themeColor="text1"/>
        </w:rPr>
        <w:t>058</w:t>
      </w:r>
      <w:r w:rsidR="006A37FD" w:rsidRPr="00C92BD4">
        <w:rPr>
          <w:color w:val="000000" w:themeColor="text1"/>
        </w:rPr>
        <w:t>,</w:t>
      </w:r>
      <w:r w:rsidRPr="00C92BD4">
        <w:rPr>
          <w:color w:val="000000" w:themeColor="text1"/>
        </w:rPr>
        <w:t xml:space="preserve"> and between primed and </w:t>
      </w:r>
      <w:r w:rsidR="00A62FAE" w:rsidRPr="00C92BD4">
        <w:rPr>
          <w:color w:val="000000" w:themeColor="text1"/>
        </w:rPr>
        <w:t xml:space="preserve">non-primed </w:t>
      </w:r>
      <w:r w:rsidR="00772229" w:rsidRPr="00C92BD4">
        <w:rPr>
          <w:color w:val="000000" w:themeColor="text1"/>
        </w:rPr>
        <w:t>V</w:t>
      </w:r>
      <w:r w:rsidRPr="00C92BD4">
        <w:rPr>
          <w:color w:val="000000" w:themeColor="text1"/>
        </w:rPr>
        <w:t xml:space="preserve">ersion B control, </w:t>
      </w:r>
      <w:r w:rsidR="006A37FD" w:rsidRPr="00C92BD4">
        <w:rPr>
          <w:i/>
          <w:iCs/>
          <w:color w:val="000000" w:themeColor="text1"/>
        </w:rPr>
        <w:t>p</w:t>
      </w:r>
      <w:r w:rsidR="006A37FD" w:rsidRPr="00C92BD4">
        <w:rPr>
          <w:color w:val="000000" w:themeColor="text1"/>
        </w:rPr>
        <w:t xml:space="preserve"> &lt; .001, </w:t>
      </w:r>
      <w:r w:rsidRPr="00C92BD4">
        <w:rPr>
          <w:color w:val="000000" w:themeColor="text1"/>
        </w:rPr>
        <w:t>95% CI [.053, .104],</w:t>
      </w:r>
      <w:r w:rsidR="006A37FD" w:rsidRPr="00C92BD4">
        <w:rPr>
          <w:color w:val="000000" w:themeColor="text1"/>
        </w:rPr>
        <w:t xml:space="preserve"> Cohen’s </w:t>
      </w:r>
      <w:proofErr w:type="spellStart"/>
      <w:r w:rsidR="006A37FD" w:rsidRPr="00C92BD4">
        <w:rPr>
          <w:i/>
          <w:iCs/>
          <w:color w:val="000000" w:themeColor="text1"/>
        </w:rPr>
        <w:lastRenderedPageBreak/>
        <w:t>dz</w:t>
      </w:r>
      <w:proofErr w:type="spellEnd"/>
      <w:r w:rsidR="006A37FD" w:rsidRPr="00C92BD4">
        <w:rPr>
          <w:color w:val="000000" w:themeColor="text1"/>
        </w:rPr>
        <w:t xml:space="preserve"> = 0.642, BF</w:t>
      </w:r>
      <w:r w:rsidR="006A37FD" w:rsidRPr="00C92BD4">
        <w:rPr>
          <w:color w:val="000000" w:themeColor="text1"/>
          <w:vertAlign w:val="subscript"/>
        </w:rPr>
        <w:t>1</w:t>
      </w:r>
      <w:r w:rsidR="00C92BD4" w:rsidRPr="00C92BD4">
        <w:rPr>
          <w:color w:val="000000" w:themeColor="text1"/>
          <w:vertAlign w:val="subscript"/>
        </w:rPr>
        <w:t>0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2924.597</w:t>
      </w:r>
      <w:r w:rsidRPr="00C92BD4">
        <w:rPr>
          <w:color w:val="000000" w:themeColor="text1"/>
        </w:rPr>
        <w:t xml:space="preserve">, while no difference obtained between </w:t>
      </w:r>
      <w:r w:rsidR="00A62FAE" w:rsidRPr="00C92BD4">
        <w:rPr>
          <w:color w:val="000000" w:themeColor="text1"/>
        </w:rPr>
        <w:t xml:space="preserve">non-primed </w:t>
      </w:r>
      <w:r w:rsidR="00772229" w:rsidRPr="00C92BD4">
        <w:rPr>
          <w:color w:val="000000" w:themeColor="text1"/>
        </w:rPr>
        <w:t>V</w:t>
      </w:r>
      <w:r w:rsidRPr="00C92BD4">
        <w:rPr>
          <w:color w:val="000000" w:themeColor="text1"/>
        </w:rPr>
        <w:t xml:space="preserve">ersion A and </w:t>
      </w:r>
      <w:r w:rsidR="00772229" w:rsidRPr="00C92BD4">
        <w:rPr>
          <w:color w:val="000000" w:themeColor="text1"/>
        </w:rPr>
        <w:t>V</w:t>
      </w:r>
      <w:r w:rsidRPr="00C92BD4">
        <w:rPr>
          <w:color w:val="000000" w:themeColor="text1"/>
        </w:rPr>
        <w:t>ersion B control conditions,</w:t>
      </w:r>
      <w:r w:rsidR="006A37FD" w:rsidRPr="00C92BD4">
        <w:rPr>
          <w:color w:val="000000" w:themeColor="text1"/>
        </w:rPr>
        <w:t xml:space="preserve"> </w:t>
      </w:r>
      <w:r w:rsidR="006A37FD" w:rsidRPr="00C92BD4">
        <w:rPr>
          <w:i/>
          <w:iCs/>
          <w:color w:val="000000" w:themeColor="text1"/>
        </w:rPr>
        <w:t>p</w:t>
      </w:r>
      <w:r w:rsidR="006A37FD" w:rsidRPr="00C92BD4">
        <w:rPr>
          <w:color w:val="000000" w:themeColor="text1"/>
        </w:rPr>
        <w:t xml:space="preserve"> = .301,</w:t>
      </w:r>
      <w:r w:rsidRPr="00C92BD4">
        <w:rPr>
          <w:color w:val="000000" w:themeColor="text1"/>
        </w:rPr>
        <w:t xml:space="preserve"> 95% CI[-.007, .024],</w:t>
      </w:r>
      <w:r w:rsidR="006A37FD" w:rsidRPr="00C92BD4">
        <w:rPr>
          <w:color w:val="000000" w:themeColor="text1"/>
        </w:rPr>
        <w:t xml:space="preserve"> Cohen’s </w:t>
      </w:r>
      <w:proofErr w:type="spellStart"/>
      <w:r w:rsidR="006A37FD" w:rsidRPr="00C92BD4">
        <w:rPr>
          <w:i/>
          <w:iCs/>
          <w:color w:val="000000" w:themeColor="text1"/>
        </w:rPr>
        <w:t>dz</w:t>
      </w:r>
      <w:proofErr w:type="spellEnd"/>
      <w:r w:rsidR="006A37FD" w:rsidRPr="00C92BD4">
        <w:rPr>
          <w:color w:val="000000" w:themeColor="text1"/>
        </w:rPr>
        <w:t xml:space="preserve"> = 0.122, BF</w:t>
      </w:r>
      <w:r w:rsidR="006A37FD" w:rsidRPr="00C92BD4">
        <w:rPr>
          <w:color w:val="000000" w:themeColor="text1"/>
          <w:vertAlign w:val="subscript"/>
        </w:rPr>
        <w:t>01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4.619</w:t>
      </w:r>
      <w:r w:rsidRPr="00C92BD4">
        <w:rPr>
          <w:color w:val="000000" w:themeColor="text1"/>
        </w:rPr>
        <w:t>.</w:t>
      </w:r>
      <w:r w:rsidRPr="00560F5D">
        <w:rPr>
          <w:color w:val="000000" w:themeColor="text1"/>
        </w:rPr>
        <w:t xml:space="preserve"> For the random </w:t>
      </w:r>
      <w:r w:rsidR="00772229">
        <w:rPr>
          <w:color w:val="000000" w:themeColor="text1"/>
        </w:rPr>
        <w:t xml:space="preserve">presentation </w:t>
      </w:r>
      <w:r w:rsidRPr="00560F5D">
        <w:rPr>
          <w:color w:val="000000" w:themeColor="text1"/>
        </w:rPr>
        <w:t xml:space="preserve">condition, there was no difference between primed and </w:t>
      </w:r>
      <w:r w:rsidR="00A62FAE">
        <w:rPr>
          <w:color w:val="000000" w:themeColor="text1"/>
        </w:rPr>
        <w:t xml:space="preserve">non-primed </w:t>
      </w:r>
      <w:r w:rsidR="00772229">
        <w:rPr>
          <w:color w:val="000000" w:themeColor="text1"/>
        </w:rPr>
        <w:t>V</w:t>
      </w:r>
      <w:r w:rsidR="00772229" w:rsidRPr="00560F5D">
        <w:rPr>
          <w:color w:val="000000" w:themeColor="text1"/>
        </w:rPr>
        <w:t xml:space="preserve">ersion </w:t>
      </w:r>
      <w:r w:rsidRPr="00560F5D">
        <w:rPr>
          <w:color w:val="000000" w:themeColor="text1"/>
        </w:rPr>
        <w:t xml:space="preserve">A control, </w:t>
      </w:r>
      <w:r w:rsidR="006A37FD" w:rsidRPr="00560F5D">
        <w:rPr>
          <w:i/>
          <w:iCs/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 = .591, </w:t>
      </w:r>
      <w:r w:rsidRPr="00560F5D">
        <w:rPr>
          <w:color w:val="000000" w:themeColor="text1"/>
        </w:rPr>
        <w:t>95% CI[-.017, .030]</w:t>
      </w:r>
      <w:r w:rsidR="006A37FD" w:rsidRPr="00560F5D">
        <w:rPr>
          <w:color w:val="000000" w:themeColor="text1"/>
        </w:rPr>
        <w:t xml:space="preserve">, Cohen’s </w:t>
      </w:r>
      <w:proofErr w:type="spellStart"/>
      <w:r w:rsidR="006A37FD" w:rsidRPr="00560F5D">
        <w:rPr>
          <w:i/>
          <w:iCs/>
          <w:color w:val="000000" w:themeColor="text1"/>
        </w:rPr>
        <w:t>dz</w:t>
      </w:r>
      <w:proofErr w:type="spellEnd"/>
      <w:r w:rsidR="006A37FD" w:rsidRPr="00560F5D">
        <w:rPr>
          <w:color w:val="000000" w:themeColor="text1"/>
        </w:rPr>
        <w:t xml:space="preserve"> = 0.091, </w:t>
      </w:r>
      <w:r w:rsidR="006A37FD" w:rsidRPr="00C92BD4">
        <w:rPr>
          <w:color w:val="000000" w:themeColor="text1"/>
        </w:rPr>
        <w:t>BF</w:t>
      </w:r>
      <w:r w:rsidR="006A37FD" w:rsidRPr="00C92BD4">
        <w:rPr>
          <w:color w:val="000000" w:themeColor="text1"/>
          <w:vertAlign w:val="subscript"/>
        </w:rPr>
        <w:t>01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5.593</w:t>
      </w:r>
      <w:r w:rsidR="006A37FD" w:rsidRPr="00C92BD4">
        <w:rPr>
          <w:color w:val="000000" w:themeColor="text1"/>
        </w:rPr>
        <w:t>,</w:t>
      </w:r>
      <w:r w:rsidRPr="00C92BD4">
        <w:rPr>
          <w:color w:val="000000" w:themeColor="text1"/>
        </w:rPr>
        <w:t xml:space="preserve"> or </w:t>
      </w:r>
      <w:r w:rsidR="00A62FAE" w:rsidRPr="00C92BD4">
        <w:rPr>
          <w:color w:val="000000" w:themeColor="text1"/>
        </w:rPr>
        <w:t xml:space="preserve">non-primed </w:t>
      </w:r>
      <w:r w:rsidR="00772229" w:rsidRPr="00C92BD4">
        <w:rPr>
          <w:color w:val="000000" w:themeColor="text1"/>
        </w:rPr>
        <w:t>V</w:t>
      </w:r>
      <w:r w:rsidRPr="00C92BD4">
        <w:rPr>
          <w:color w:val="000000" w:themeColor="text1"/>
        </w:rPr>
        <w:t xml:space="preserve">ersion B control, </w:t>
      </w:r>
      <w:r w:rsidR="006A37FD" w:rsidRPr="00C92BD4">
        <w:rPr>
          <w:i/>
          <w:iCs/>
          <w:color w:val="000000" w:themeColor="text1"/>
        </w:rPr>
        <w:t>p</w:t>
      </w:r>
      <w:r w:rsidR="006A37FD" w:rsidRPr="00C92BD4">
        <w:rPr>
          <w:color w:val="000000" w:themeColor="text1"/>
        </w:rPr>
        <w:t xml:space="preserve"> = .259, </w:t>
      </w:r>
      <w:r w:rsidRPr="00C92BD4">
        <w:rPr>
          <w:color w:val="000000" w:themeColor="text1"/>
        </w:rPr>
        <w:t>95% CI[-.011, .040],</w:t>
      </w:r>
      <w:r w:rsidR="006A37FD" w:rsidRPr="00C92BD4">
        <w:rPr>
          <w:color w:val="000000" w:themeColor="text1"/>
        </w:rPr>
        <w:t xml:space="preserve"> Cohen’s </w:t>
      </w:r>
      <w:proofErr w:type="spellStart"/>
      <w:r w:rsidR="006A37FD" w:rsidRPr="00C92BD4">
        <w:rPr>
          <w:i/>
          <w:iCs/>
          <w:color w:val="000000" w:themeColor="text1"/>
        </w:rPr>
        <w:t>dz</w:t>
      </w:r>
      <w:proofErr w:type="spellEnd"/>
      <w:r w:rsidR="006A37FD" w:rsidRPr="00C92BD4">
        <w:rPr>
          <w:color w:val="000000" w:themeColor="text1"/>
        </w:rPr>
        <w:t xml:space="preserve"> = 0.217, BF</w:t>
      </w:r>
      <w:r w:rsidR="006A37FD" w:rsidRPr="00C92BD4">
        <w:rPr>
          <w:color w:val="000000" w:themeColor="text1"/>
          <w:vertAlign w:val="subscript"/>
        </w:rPr>
        <w:t>01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1.888</w:t>
      </w:r>
      <w:r w:rsidRPr="00C92BD4">
        <w:rPr>
          <w:color w:val="000000" w:themeColor="text1"/>
        </w:rPr>
        <w:t xml:space="preserve">, and no difference between </w:t>
      </w:r>
      <w:r w:rsidR="00A62FAE" w:rsidRPr="00C92BD4">
        <w:rPr>
          <w:color w:val="000000" w:themeColor="text1"/>
        </w:rPr>
        <w:t xml:space="preserve">non-primed </w:t>
      </w:r>
      <w:r w:rsidR="00E244BF" w:rsidRPr="00C92BD4">
        <w:rPr>
          <w:color w:val="000000" w:themeColor="text1"/>
        </w:rPr>
        <w:t>V</w:t>
      </w:r>
      <w:r w:rsidRPr="00C92BD4">
        <w:rPr>
          <w:color w:val="000000" w:themeColor="text1"/>
        </w:rPr>
        <w:t xml:space="preserve">ersion A and B control conditions, </w:t>
      </w:r>
      <w:r w:rsidR="006A37FD" w:rsidRPr="00C92BD4">
        <w:rPr>
          <w:i/>
          <w:iCs/>
          <w:color w:val="000000" w:themeColor="text1"/>
        </w:rPr>
        <w:t>p</w:t>
      </w:r>
      <w:r w:rsidR="006A37FD" w:rsidRPr="00C92BD4">
        <w:rPr>
          <w:color w:val="000000" w:themeColor="text1"/>
        </w:rPr>
        <w:t xml:space="preserve"> = .305, </w:t>
      </w:r>
      <w:r w:rsidRPr="00C92BD4">
        <w:rPr>
          <w:color w:val="000000" w:themeColor="text1"/>
        </w:rPr>
        <w:t>95% CI[-.007, .024],</w:t>
      </w:r>
      <w:r w:rsidR="006A37FD" w:rsidRPr="00C92BD4">
        <w:rPr>
          <w:color w:val="000000" w:themeColor="text1"/>
        </w:rPr>
        <w:t xml:space="preserve"> Cohen’s </w:t>
      </w:r>
      <w:proofErr w:type="spellStart"/>
      <w:r w:rsidR="006A37FD" w:rsidRPr="00C92BD4">
        <w:rPr>
          <w:i/>
          <w:iCs/>
          <w:color w:val="000000" w:themeColor="text1"/>
        </w:rPr>
        <w:t>dz</w:t>
      </w:r>
      <w:proofErr w:type="spellEnd"/>
      <w:r w:rsidR="006A37FD" w:rsidRPr="00C92BD4">
        <w:rPr>
          <w:color w:val="000000" w:themeColor="text1"/>
        </w:rPr>
        <w:t xml:space="preserve"> = 0.149, BF</w:t>
      </w:r>
      <w:r w:rsidR="006A37FD" w:rsidRPr="00C92BD4">
        <w:rPr>
          <w:color w:val="000000" w:themeColor="text1"/>
          <w:vertAlign w:val="subscript"/>
        </w:rPr>
        <w:t>01</w:t>
      </w:r>
      <w:r w:rsidR="006A37FD" w:rsidRP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3.773</w:t>
      </w:r>
      <w:r w:rsidRPr="00C92BD4">
        <w:rPr>
          <w:color w:val="000000" w:themeColor="text1"/>
        </w:rPr>
        <w:t>.</w:t>
      </w:r>
      <w:r w:rsidR="006A37FD" w:rsidRPr="00560F5D">
        <w:rPr>
          <w:color w:val="000000" w:themeColor="text1"/>
        </w:rPr>
        <w:t xml:space="preserve"> Thus, with an arguably uncontaminated baseline, the results corroborate the view that semantic priming emerges only when distractors are organised by semantic category.</w:t>
      </w:r>
    </w:p>
    <w:p w14:paraId="1636433C" w14:textId="088D043B" w:rsidR="006A37FD" w:rsidRPr="00560F5D" w:rsidRDefault="002C25F4" w:rsidP="5DDFB449">
      <w:pPr>
        <w:spacing w:line="480" w:lineRule="auto"/>
        <w:ind w:firstLine="720"/>
        <w:rPr>
          <w:color w:val="000000" w:themeColor="text1"/>
        </w:rPr>
      </w:pPr>
      <w:r w:rsidRPr="00560F5D">
        <w:rPr>
          <w:color w:val="000000" w:themeColor="text1"/>
        </w:rPr>
        <w:t xml:space="preserve">To </w:t>
      </w:r>
      <w:r w:rsidR="006A37FD" w:rsidRPr="00560F5D">
        <w:rPr>
          <w:color w:val="000000" w:themeColor="text1"/>
        </w:rPr>
        <w:t xml:space="preserve">determine whether the rate of production of </w:t>
      </w:r>
      <w:proofErr w:type="spellStart"/>
      <w:r w:rsidR="006A37FD" w:rsidRPr="00560F5D">
        <w:rPr>
          <w:color w:val="000000" w:themeColor="text1"/>
        </w:rPr>
        <w:t>unprimed</w:t>
      </w:r>
      <w:proofErr w:type="spellEnd"/>
      <w:r w:rsidR="006A37FD" w:rsidRPr="00560F5D">
        <w:rPr>
          <w:color w:val="000000" w:themeColor="text1"/>
        </w:rPr>
        <w:t xml:space="preserve"> items differed from that of </w:t>
      </w:r>
      <w:r w:rsidR="00A62FAE">
        <w:rPr>
          <w:color w:val="000000" w:themeColor="text1"/>
        </w:rPr>
        <w:t xml:space="preserve">non-primed </w:t>
      </w:r>
      <w:r w:rsidR="006A37FD" w:rsidRPr="00560F5D">
        <w:rPr>
          <w:color w:val="000000" w:themeColor="text1"/>
        </w:rPr>
        <w:t>control items</w:t>
      </w:r>
      <w:r w:rsidRPr="00560F5D">
        <w:rPr>
          <w:color w:val="000000" w:themeColor="text1"/>
        </w:rPr>
        <w:t xml:space="preserve"> a</w:t>
      </w:r>
      <w:r w:rsidR="006A37FD" w:rsidRPr="00560F5D">
        <w:rPr>
          <w:color w:val="000000" w:themeColor="text1"/>
        </w:rPr>
        <w:t xml:space="preserve"> 2</w:t>
      </w:r>
      <w:r w:rsidR="00E244BF">
        <w:rPr>
          <w:color w:val="000000" w:themeColor="text1"/>
        </w:rPr>
        <w:t xml:space="preserve"> </w:t>
      </w:r>
      <w:r w:rsidR="006A37FD" w:rsidRPr="00560F5D">
        <w:rPr>
          <w:color w:val="000000" w:themeColor="text1"/>
        </w:rPr>
        <w:t>(</w:t>
      </w:r>
      <w:r w:rsidR="00E244BF">
        <w:rPr>
          <w:color w:val="000000" w:themeColor="text1"/>
        </w:rPr>
        <w:t>o</w:t>
      </w:r>
      <w:r w:rsidR="006A37FD" w:rsidRPr="00560F5D">
        <w:rPr>
          <w:color w:val="000000" w:themeColor="text1"/>
        </w:rPr>
        <w:t xml:space="preserve">rganisation: </w:t>
      </w:r>
      <w:r w:rsidR="00E244BF">
        <w:rPr>
          <w:color w:val="000000" w:themeColor="text1"/>
        </w:rPr>
        <w:t>b</w:t>
      </w:r>
      <w:r w:rsidR="006A37FD" w:rsidRPr="00560F5D">
        <w:rPr>
          <w:color w:val="000000" w:themeColor="text1"/>
        </w:rPr>
        <w:t xml:space="preserve">locked vs. </w:t>
      </w:r>
      <w:r w:rsidR="00E244BF">
        <w:rPr>
          <w:color w:val="000000" w:themeColor="text1"/>
        </w:rPr>
        <w:t>r</w:t>
      </w:r>
      <w:r w:rsidR="00E244BF" w:rsidRPr="00560F5D">
        <w:rPr>
          <w:color w:val="000000" w:themeColor="text1"/>
        </w:rPr>
        <w:t>andom</w:t>
      </w:r>
      <w:r w:rsidR="00E244BF">
        <w:rPr>
          <w:color w:val="000000" w:themeColor="text1"/>
        </w:rPr>
        <w:t xml:space="preserve"> presentation</w:t>
      </w:r>
      <w:r w:rsidR="006A37FD" w:rsidRPr="00560F5D">
        <w:rPr>
          <w:color w:val="000000" w:themeColor="text1"/>
        </w:rPr>
        <w:t>) × 3</w:t>
      </w:r>
      <w:r w:rsidR="00E244BF">
        <w:rPr>
          <w:color w:val="000000" w:themeColor="text1"/>
        </w:rPr>
        <w:t xml:space="preserve"> </w:t>
      </w:r>
      <w:r w:rsidR="006A37FD" w:rsidRPr="00560F5D">
        <w:rPr>
          <w:color w:val="000000" w:themeColor="text1"/>
        </w:rPr>
        <w:t>(</w:t>
      </w:r>
      <w:r w:rsidR="00E244BF">
        <w:rPr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riming </w:t>
      </w:r>
      <w:r w:rsidR="00E244BF">
        <w:rPr>
          <w:color w:val="000000" w:themeColor="text1"/>
        </w:rPr>
        <w:t>s</w:t>
      </w:r>
      <w:r w:rsidR="00E244BF" w:rsidRPr="00560F5D">
        <w:rPr>
          <w:color w:val="000000" w:themeColor="text1"/>
        </w:rPr>
        <w:t>tatus</w:t>
      </w:r>
      <w:r w:rsidR="006A37FD" w:rsidRPr="00560F5D">
        <w:rPr>
          <w:color w:val="000000" w:themeColor="text1"/>
        </w:rPr>
        <w:t xml:space="preserve">: </w:t>
      </w:r>
      <w:proofErr w:type="spellStart"/>
      <w:r w:rsidR="00E244BF">
        <w:rPr>
          <w:color w:val="000000" w:themeColor="text1"/>
        </w:rPr>
        <w:t>u</w:t>
      </w:r>
      <w:r w:rsidR="00E244BF" w:rsidRPr="00560F5D">
        <w:rPr>
          <w:color w:val="000000" w:themeColor="text1"/>
        </w:rPr>
        <w:t>nprimed</w:t>
      </w:r>
      <w:proofErr w:type="spellEnd"/>
      <w:r w:rsidR="00E244BF" w:rsidRPr="00560F5D">
        <w:rPr>
          <w:color w:val="000000" w:themeColor="text1"/>
        </w:rPr>
        <w:t xml:space="preserve"> </w:t>
      </w:r>
      <w:r w:rsidR="006A37FD" w:rsidRPr="00560F5D">
        <w:rPr>
          <w:color w:val="000000" w:themeColor="text1"/>
        </w:rPr>
        <w:t xml:space="preserve">vs. </w:t>
      </w:r>
      <w:r w:rsidR="00E244BF">
        <w:rPr>
          <w:color w:val="000000" w:themeColor="text1"/>
        </w:rPr>
        <w:t>non</w:t>
      </w:r>
      <w:r w:rsidR="00A62FAE">
        <w:rPr>
          <w:color w:val="000000" w:themeColor="text1"/>
        </w:rPr>
        <w:t xml:space="preserve">-primed </w:t>
      </w:r>
      <w:r w:rsidR="00E244BF">
        <w:rPr>
          <w:color w:val="000000" w:themeColor="text1"/>
        </w:rPr>
        <w:t>c</w:t>
      </w:r>
      <w:r w:rsidR="00E244BF" w:rsidRPr="00560F5D">
        <w:rPr>
          <w:color w:val="000000" w:themeColor="text1"/>
        </w:rPr>
        <w:t xml:space="preserve">ontrol </w:t>
      </w:r>
      <w:r w:rsidR="00E244BF">
        <w:rPr>
          <w:color w:val="000000" w:themeColor="text1"/>
        </w:rPr>
        <w:t>v</w:t>
      </w:r>
      <w:r w:rsidR="006A37FD" w:rsidRPr="00560F5D">
        <w:rPr>
          <w:color w:val="000000" w:themeColor="text1"/>
        </w:rPr>
        <w:t>ersion</w:t>
      </w:r>
      <w:r w:rsidRPr="00560F5D">
        <w:rPr>
          <w:color w:val="000000" w:themeColor="text1"/>
        </w:rPr>
        <w:t>s</w:t>
      </w:r>
      <w:r w:rsidR="006A37FD" w:rsidRPr="00560F5D">
        <w:rPr>
          <w:color w:val="000000" w:themeColor="text1"/>
        </w:rPr>
        <w:t xml:space="preserve">) mixed analysis of variance </w:t>
      </w:r>
      <w:r w:rsidRPr="00560F5D">
        <w:rPr>
          <w:color w:val="000000" w:themeColor="text1"/>
        </w:rPr>
        <w:t xml:space="preserve">was undertaken. This </w:t>
      </w:r>
      <w:r w:rsidR="006A37FD" w:rsidRPr="00560F5D">
        <w:rPr>
          <w:color w:val="000000" w:themeColor="text1"/>
        </w:rPr>
        <w:t xml:space="preserve">failed to reveal a main effect of </w:t>
      </w:r>
      <w:r w:rsidR="00E244BF">
        <w:rPr>
          <w:color w:val="000000" w:themeColor="text1"/>
        </w:rPr>
        <w:t>p</w:t>
      </w:r>
      <w:r w:rsidR="00E244BF" w:rsidRPr="00560F5D">
        <w:rPr>
          <w:color w:val="000000" w:themeColor="text1"/>
        </w:rPr>
        <w:t xml:space="preserve">riming </w:t>
      </w:r>
      <w:r w:rsidR="00E244BF">
        <w:rPr>
          <w:color w:val="000000" w:themeColor="text1"/>
        </w:rPr>
        <w:t>s</w:t>
      </w:r>
      <w:r w:rsidR="00E244BF" w:rsidRPr="00560F5D">
        <w:rPr>
          <w:color w:val="000000" w:themeColor="text1"/>
        </w:rPr>
        <w:t>tatus</w:t>
      </w:r>
      <w:r w:rsidR="006A37FD" w:rsidRPr="00560F5D">
        <w:rPr>
          <w:color w:val="000000" w:themeColor="text1"/>
        </w:rPr>
        <w:t xml:space="preserve">, </w:t>
      </w:r>
      <w:proofErr w:type="gramStart"/>
      <w:r w:rsidR="006A37FD" w:rsidRPr="00560F5D">
        <w:rPr>
          <w:i/>
          <w:iCs/>
          <w:color w:val="000000" w:themeColor="text1"/>
        </w:rPr>
        <w:t>F</w:t>
      </w:r>
      <w:r w:rsidR="006A37FD" w:rsidRPr="00560F5D">
        <w:rPr>
          <w:color w:val="000000" w:themeColor="text1"/>
        </w:rPr>
        <w:t>(</w:t>
      </w:r>
      <w:proofErr w:type="gramEnd"/>
      <w:r w:rsidR="006A37FD" w:rsidRPr="00560F5D">
        <w:rPr>
          <w:color w:val="000000" w:themeColor="text1"/>
        </w:rPr>
        <w:t xml:space="preserve">2, 236) = 1.922, </w:t>
      </w:r>
      <w:r w:rsidR="006A37FD" w:rsidRPr="00560F5D">
        <w:rPr>
          <w:i/>
          <w:iCs/>
          <w:color w:val="000000" w:themeColor="text1"/>
        </w:rPr>
        <w:t>MSE</w:t>
      </w:r>
      <w:r w:rsidR="006A37FD" w:rsidRPr="00560F5D">
        <w:rPr>
          <w:color w:val="000000" w:themeColor="text1"/>
        </w:rPr>
        <w:t xml:space="preserve"> = .002, </w:t>
      </w:r>
      <w:r w:rsidR="006A37FD" w:rsidRPr="00560F5D">
        <w:rPr>
          <w:i/>
          <w:iCs/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 = .149, </w:t>
      </w:r>
      <w:r w:rsidR="006A37FD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A37FD" w:rsidRPr="00560F5D">
        <w:rPr>
          <w:color w:val="000000" w:themeColor="text1"/>
          <w:vertAlign w:val="subscript"/>
          <w:lang w:val="en-US"/>
        </w:rPr>
        <w:t>p</w:t>
      </w:r>
      <w:r w:rsidR="006A37FD" w:rsidRPr="00560F5D">
        <w:rPr>
          <w:color w:val="000000" w:themeColor="text1"/>
          <w:vertAlign w:val="superscript"/>
          <w:lang w:val="en-US"/>
        </w:rPr>
        <w:t>2</w:t>
      </w:r>
      <w:r w:rsidR="006A37FD" w:rsidRPr="00560F5D">
        <w:rPr>
          <w:color w:val="000000" w:themeColor="text1"/>
        </w:rPr>
        <w:t xml:space="preserve"> = .016, or </w:t>
      </w:r>
      <w:r w:rsidR="00E244BF">
        <w:rPr>
          <w:color w:val="000000" w:themeColor="text1"/>
        </w:rPr>
        <w:t>o</w:t>
      </w:r>
      <w:r w:rsidR="00E244BF" w:rsidRPr="00560F5D">
        <w:rPr>
          <w:color w:val="000000" w:themeColor="text1"/>
        </w:rPr>
        <w:t>rganisation</w:t>
      </w:r>
      <w:r w:rsidR="006A37FD" w:rsidRPr="00560F5D">
        <w:rPr>
          <w:color w:val="000000" w:themeColor="text1"/>
        </w:rPr>
        <w:t xml:space="preserve">, </w:t>
      </w:r>
      <w:r w:rsidR="006A37FD" w:rsidRPr="00560F5D">
        <w:rPr>
          <w:i/>
          <w:iCs/>
          <w:color w:val="000000" w:themeColor="text1"/>
        </w:rPr>
        <w:t>F</w:t>
      </w:r>
      <w:r w:rsidR="006A37FD" w:rsidRPr="00560F5D">
        <w:rPr>
          <w:color w:val="000000" w:themeColor="text1"/>
        </w:rPr>
        <w:t xml:space="preserve">(1, 118) = 0.038, </w:t>
      </w:r>
      <w:r w:rsidR="006A37FD" w:rsidRPr="00560F5D">
        <w:rPr>
          <w:i/>
          <w:iCs/>
          <w:color w:val="000000" w:themeColor="text1"/>
        </w:rPr>
        <w:t>MSE</w:t>
      </w:r>
      <w:r w:rsidR="006A37FD" w:rsidRPr="00560F5D">
        <w:rPr>
          <w:color w:val="000000" w:themeColor="text1"/>
        </w:rPr>
        <w:t xml:space="preserve"> = .002, </w:t>
      </w:r>
      <w:r w:rsidR="006A37FD" w:rsidRPr="00560F5D">
        <w:rPr>
          <w:i/>
          <w:iCs/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 = .845, </w:t>
      </w:r>
      <w:r w:rsidR="006A37FD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A37FD" w:rsidRPr="00560F5D">
        <w:rPr>
          <w:color w:val="000000" w:themeColor="text1"/>
          <w:vertAlign w:val="subscript"/>
          <w:lang w:val="en-US"/>
        </w:rPr>
        <w:t>p</w:t>
      </w:r>
      <w:r w:rsidR="006A37FD" w:rsidRPr="00560F5D">
        <w:rPr>
          <w:color w:val="000000" w:themeColor="text1"/>
          <w:vertAlign w:val="superscript"/>
          <w:lang w:val="en-US"/>
        </w:rPr>
        <w:t>2</w:t>
      </w:r>
      <w:r w:rsidR="006A37FD" w:rsidRPr="00560F5D">
        <w:rPr>
          <w:color w:val="000000" w:themeColor="text1"/>
        </w:rPr>
        <w:t xml:space="preserve"> = .000. Further, there was no </w:t>
      </w:r>
      <w:r w:rsidR="00E244BF">
        <w:rPr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riming </w:t>
      </w:r>
      <w:r w:rsidR="00E244BF">
        <w:rPr>
          <w:color w:val="000000" w:themeColor="text1"/>
        </w:rPr>
        <w:t>s</w:t>
      </w:r>
      <w:r w:rsidR="00E244BF" w:rsidRPr="00560F5D">
        <w:rPr>
          <w:color w:val="000000" w:themeColor="text1"/>
        </w:rPr>
        <w:t xml:space="preserve">tatus </w:t>
      </w:r>
      <w:r w:rsidR="006A37FD" w:rsidRPr="00560F5D">
        <w:rPr>
          <w:color w:val="000000" w:themeColor="text1"/>
        </w:rPr>
        <w:t xml:space="preserve">× </w:t>
      </w:r>
      <w:r w:rsidR="00E244BF">
        <w:rPr>
          <w:color w:val="000000" w:themeColor="text1"/>
        </w:rPr>
        <w:t>o</w:t>
      </w:r>
      <w:r w:rsidR="00E244BF" w:rsidRPr="00560F5D">
        <w:rPr>
          <w:color w:val="000000" w:themeColor="text1"/>
        </w:rPr>
        <w:t xml:space="preserve">rganisation </w:t>
      </w:r>
      <w:r w:rsidR="006A37FD" w:rsidRPr="00560F5D">
        <w:rPr>
          <w:color w:val="000000" w:themeColor="text1"/>
        </w:rPr>
        <w:t xml:space="preserve">interaction, </w:t>
      </w:r>
      <w:proofErr w:type="gramStart"/>
      <w:r w:rsidR="006A37FD" w:rsidRPr="00560F5D">
        <w:rPr>
          <w:i/>
          <w:iCs/>
          <w:color w:val="000000" w:themeColor="text1"/>
        </w:rPr>
        <w:t>F</w:t>
      </w:r>
      <w:r w:rsidR="006A37FD" w:rsidRPr="00560F5D">
        <w:rPr>
          <w:color w:val="000000" w:themeColor="text1"/>
        </w:rPr>
        <w:t>(</w:t>
      </w:r>
      <w:proofErr w:type="gramEnd"/>
      <w:r w:rsidR="006A37FD" w:rsidRPr="00560F5D">
        <w:rPr>
          <w:color w:val="000000" w:themeColor="text1"/>
        </w:rPr>
        <w:t xml:space="preserve">2, 236) = 0.495, </w:t>
      </w:r>
      <w:r w:rsidR="006A37FD" w:rsidRPr="00560F5D">
        <w:rPr>
          <w:i/>
          <w:iCs/>
          <w:color w:val="000000" w:themeColor="text1"/>
        </w:rPr>
        <w:t>MSE</w:t>
      </w:r>
      <w:r w:rsidR="006A37FD" w:rsidRPr="00560F5D">
        <w:rPr>
          <w:color w:val="000000" w:themeColor="text1"/>
        </w:rPr>
        <w:t xml:space="preserve"> = .002, </w:t>
      </w:r>
      <w:r w:rsidR="006A37FD" w:rsidRPr="00560F5D">
        <w:rPr>
          <w:i/>
          <w:iCs/>
          <w:color w:val="000000" w:themeColor="text1"/>
        </w:rPr>
        <w:t>p</w:t>
      </w:r>
      <w:r w:rsidR="006A37FD" w:rsidRPr="00560F5D">
        <w:rPr>
          <w:color w:val="000000" w:themeColor="text1"/>
        </w:rPr>
        <w:t xml:space="preserve"> = .610, </w:t>
      </w:r>
      <w:r w:rsidR="006A37FD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6A37FD" w:rsidRPr="00560F5D">
        <w:rPr>
          <w:color w:val="000000" w:themeColor="text1"/>
          <w:vertAlign w:val="subscript"/>
          <w:lang w:val="en-US"/>
        </w:rPr>
        <w:t>p</w:t>
      </w:r>
      <w:r w:rsidR="006A37FD" w:rsidRPr="00560F5D">
        <w:rPr>
          <w:color w:val="000000" w:themeColor="text1"/>
          <w:vertAlign w:val="superscript"/>
          <w:lang w:val="en-US"/>
        </w:rPr>
        <w:t>2</w:t>
      </w:r>
      <w:r w:rsidR="006A37FD" w:rsidRPr="00560F5D">
        <w:rPr>
          <w:color w:val="000000" w:themeColor="text1"/>
        </w:rPr>
        <w:t xml:space="preserve"> = .004. Thus, the production of </w:t>
      </w:r>
      <w:proofErr w:type="spellStart"/>
      <w:r w:rsidR="006A37FD" w:rsidRPr="00560F5D">
        <w:rPr>
          <w:color w:val="000000" w:themeColor="text1"/>
        </w:rPr>
        <w:t>unprimed</w:t>
      </w:r>
      <w:proofErr w:type="spellEnd"/>
      <w:r w:rsidR="006A37FD" w:rsidRPr="00560F5D">
        <w:rPr>
          <w:color w:val="000000" w:themeColor="text1"/>
        </w:rPr>
        <w:t xml:space="preserve"> exemplars from the category from which primed exemplars were drawn was not depressed as a function of the priming manipulation.</w:t>
      </w:r>
    </w:p>
    <w:p w14:paraId="30F74F48" w14:textId="43D74BFF" w:rsidR="00B25B72" w:rsidRPr="00560F5D" w:rsidRDefault="00934E12" w:rsidP="5DDFB449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Given that</w:t>
      </w:r>
      <w:r w:rsidRPr="00560F5D">
        <w:rPr>
          <w:color w:val="000000" w:themeColor="text1"/>
        </w:rPr>
        <w:t xml:space="preserve"> </w:t>
      </w:r>
      <w:r w:rsidR="002C25F4" w:rsidRPr="00560F5D">
        <w:rPr>
          <w:color w:val="000000" w:themeColor="text1"/>
        </w:rPr>
        <w:t xml:space="preserve">the production rates of Version A and B did not differ significantly, these were combined into one variable in a subsequent analysis aiming to </w:t>
      </w:r>
      <w:r w:rsidR="00B85F72" w:rsidRPr="00560F5D">
        <w:rPr>
          <w:color w:val="000000" w:themeColor="text1"/>
        </w:rPr>
        <w:t xml:space="preserve">establish whether semantic priming differed as a function of which </w:t>
      </w:r>
      <w:r>
        <w:rPr>
          <w:color w:val="000000" w:themeColor="text1"/>
        </w:rPr>
        <w:t>s</w:t>
      </w:r>
      <w:r w:rsidR="00B85F72" w:rsidRPr="00560F5D">
        <w:rPr>
          <w:color w:val="000000" w:themeColor="text1"/>
        </w:rPr>
        <w:t>et (1 vs</w:t>
      </w:r>
      <w:r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2) and </w:t>
      </w:r>
      <w:r>
        <w:rPr>
          <w:color w:val="000000" w:themeColor="text1"/>
        </w:rPr>
        <w:t>v</w:t>
      </w:r>
      <w:r w:rsidR="00B85F72" w:rsidRPr="00560F5D">
        <w:rPr>
          <w:color w:val="000000" w:themeColor="text1"/>
        </w:rPr>
        <w:t>ersion (A vs</w:t>
      </w:r>
      <w:r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B) were presented as primes</w:t>
      </w:r>
      <w:r w:rsidR="00C27815">
        <w:rPr>
          <w:color w:val="000000" w:themeColor="text1"/>
        </w:rPr>
        <w:t xml:space="preserve">. This </w:t>
      </w:r>
      <w:r w:rsidR="00477CAD">
        <w:rPr>
          <w:color w:val="000000" w:themeColor="text1"/>
        </w:rPr>
        <w:t>involved running</w:t>
      </w:r>
      <w:r w:rsidR="00B85F72" w:rsidRPr="00560F5D">
        <w:rPr>
          <w:color w:val="000000" w:themeColor="text1"/>
        </w:rPr>
        <w:t xml:space="preserve"> a 3</w:t>
      </w:r>
      <w:r>
        <w:rPr>
          <w:color w:val="000000" w:themeColor="text1"/>
        </w:rPr>
        <w:t xml:space="preserve"> </w:t>
      </w:r>
      <w:r w:rsidR="00B85F72" w:rsidRPr="00560F5D">
        <w:rPr>
          <w:color w:val="000000" w:themeColor="text1"/>
        </w:rPr>
        <w:t>(</w:t>
      </w:r>
      <w:r>
        <w:rPr>
          <w:color w:val="000000" w:themeColor="text1"/>
        </w:rPr>
        <w:t>p</w:t>
      </w:r>
      <w:r w:rsidR="00B85F72" w:rsidRPr="00560F5D">
        <w:rPr>
          <w:color w:val="000000" w:themeColor="text1"/>
        </w:rPr>
        <w:t xml:space="preserve">riming </w:t>
      </w:r>
      <w:r>
        <w:rPr>
          <w:color w:val="000000" w:themeColor="text1"/>
        </w:rPr>
        <w:t>s</w:t>
      </w:r>
      <w:r w:rsidR="00B85F72" w:rsidRPr="00560F5D">
        <w:rPr>
          <w:color w:val="000000" w:themeColor="text1"/>
        </w:rPr>
        <w:t xml:space="preserve">tatus: </w:t>
      </w:r>
      <w:r>
        <w:rPr>
          <w:color w:val="000000" w:themeColor="text1"/>
        </w:rPr>
        <w:t>p</w:t>
      </w:r>
      <w:r w:rsidR="00B85F72" w:rsidRPr="00560F5D">
        <w:rPr>
          <w:color w:val="000000" w:themeColor="text1"/>
        </w:rPr>
        <w:t>rimed vs</w:t>
      </w:r>
      <w:r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A62FAE">
        <w:rPr>
          <w:color w:val="000000" w:themeColor="text1"/>
        </w:rPr>
        <w:t xml:space="preserve">on-primed </w:t>
      </w:r>
      <w:r>
        <w:rPr>
          <w:color w:val="000000" w:themeColor="text1"/>
        </w:rPr>
        <w:t>c</w:t>
      </w:r>
      <w:r w:rsidRPr="00560F5D">
        <w:rPr>
          <w:color w:val="000000" w:themeColor="text1"/>
        </w:rPr>
        <w:t>ontrol</w:t>
      </w:r>
      <w:r w:rsidR="00B85F72" w:rsidRPr="00560F5D">
        <w:rPr>
          <w:color w:val="000000" w:themeColor="text1"/>
        </w:rPr>
        <w:t>) × 2</w:t>
      </w:r>
      <w:r>
        <w:rPr>
          <w:color w:val="000000" w:themeColor="text1"/>
        </w:rPr>
        <w:t xml:space="preserve"> </w:t>
      </w:r>
      <w:r w:rsidR="00B85F72" w:rsidRPr="00560F5D">
        <w:rPr>
          <w:color w:val="000000" w:themeColor="text1"/>
        </w:rPr>
        <w:t>(</w:t>
      </w:r>
      <w:r>
        <w:rPr>
          <w:color w:val="000000" w:themeColor="text1"/>
        </w:rPr>
        <w:t>o</w:t>
      </w:r>
      <w:r w:rsidRPr="00560F5D">
        <w:rPr>
          <w:color w:val="000000" w:themeColor="text1"/>
        </w:rPr>
        <w:t>rganisation</w:t>
      </w:r>
      <w:r w:rsidR="00B85F72" w:rsidRPr="00560F5D">
        <w:rPr>
          <w:color w:val="000000" w:themeColor="text1"/>
        </w:rPr>
        <w:t xml:space="preserve">: </w:t>
      </w:r>
      <w:r w:rsidR="00981AE8">
        <w:rPr>
          <w:color w:val="000000" w:themeColor="text1"/>
        </w:rPr>
        <w:t>b</w:t>
      </w:r>
      <w:r w:rsidR="00981AE8" w:rsidRPr="00560F5D">
        <w:rPr>
          <w:color w:val="000000" w:themeColor="text1"/>
        </w:rPr>
        <w:t xml:space="preserve">locked </w:t>
      </w:r>
      <w:r w:rsidR="00B85F72" w:rsidRPr="00560F5D">
        <w:rPr>
          <w:color w:val="000000" w:themeColor="text1"/>
        </w:rPr>
        <w:t>vs</w:t>
      </w:r>
      <w:r w:rsidR="00981AE8">
        <w:rPr>
          <w:color w:val="000000" w:themeColor="text1"/>
        </w:rPr>
        <w:t>. r</w:t>
      </w:r>
      <w:r w:rsidR="00B85F72" w:rsidRPr="00560F5D">
        <w:rPr>
          <w:color w:val="000000" w:themeColor="text1"/>
        </w:rPr>
        <w:t>andom</w:t>
      </w:r>
      <w:r w:rsidR="00981AE8">
        <w:rPr>
          <w:color w:val="000000" w:themeColor="text1"/>
        </w:rPr>
        <w:t xml:space="preserve"> presentation</w:t>
      </w:r>
      <w:r w:rsidR="00B85F72" w:rsidRPr="00560F5D">
        <w:rPr>
          <w:color w:val="000000" w:themeColor="text1"/>
        </w:rPr>
        <w:t>) ×</w:t>
      </w:r>
      <w:r w:rsidR="00A62FAE">
        <w:rPr>
          <w:color w:val="000000" w:themeColor="text1"/>
        </w:rPr>
        <w:t xml:space="preserve"> </w:t>
      </w:r>
      <w:r w:rsidR="00B85F72" w:rsidRPr="00560F5D">
        <w:rPr>
          <w:color w:val="000000" w:themeColor="text1"/>
        </w:rPr>
        <w:t>4</w:t>
      </w:r>
      <w:r w:rsidR="00981AE8">
        <w:rPr>
          <w:color w:val="000000" w:themeColor="text1"/>
        </w:rPr>
        <w:t xml:space="preserve"> </w:t>
      </w:r>
      <w:r w:rsidR="00B85F72" w:rsidRPr="00560F5D">
        <w:rPr>
          <w:color w:val="000000" w:themeColor="text1"/>
        </w:rPr>
        <w:t>(</w:t>
      </w:r>
      <w:r w:rsidR="00981AE8">
        <w:rPr>
          <w:color w:val="000000" w:themeColor="text1"/>
        </w:rPr>
        <w:t>s</w:t>
      </w:r>
      <w:r w:rsidR="00981AE8" w:rsidRPr="00560F5D">
        <w:rPr>
          <w:color w:val="000000" w:themeColor="text1"/>
        </w:rPr>
        <w:t xml:space="preserve">et </w:t>
      </w:r>
      <w:r w:rsidR="00B85F72" w:rsidRPr="00560F5D">
        <w:rPr>
          <w:color w:val="000000" w:themeColor="text1"/>
        </w:rPr>
        <w:t>and Version: Set 1A vs</w:t>
      </w:r>
      <w:r w:rsidR="00981AE8"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Set 1B vs</w:t>
      </w:r>
      <w:r w:rsidR="00981AE8"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Set 2A vs</w:t>
      </w:r>
      <w:r w:rsidR="00981AE8">
        <w:rPr>
          <w:color w:val="000000" w:themeColor="text1"/>
        </w:rPr>
        <w:t>.</w:t>
      </w:r>
      <w:r w:rsidR="00B85F72" w:rsidRPr="00560F5D">
        <w:rPr>
          <w:color w:val="000000" w:themeColor="text1"/>
        </w:rPr>
        <w:t xml:space="preserve"> Set 2B) mixed analysis of variance.</w:t>
      </w:r>
      <w:r w:rsidR="002C25F4" w:rsidRPr="00560F5D">
        <w:rPr>
          <w:color w:val="000000" w:themeColor="text1"/>
        </w:rPr>
        <w:t xml:space="preserve"> The main effect of </w:t>
      </w:r>
      <w:r w:rsidR="00981AE8">
        <w:rPr>
          <w:color w:val="000000" w:themeColor="text1"/>
        </w:rPr>
        <w:t>s</w:t>
      </w:r>
      <w:r w:rsidR="002C25F4" w:rsidRPr="00560F5D">
        <w:rPr>
          <w:color w:val="000000" w:themeColor="text1"/>
        </w:rPr>
        <w:t xml:space="preserve">et was not significant, </w:t>
      </w:r>
      <w:proofErr w:type="gramStart"/>
      <w:r w:rsidR="002C25F4" w:rsidRPr="00560F5D">
        <w:rPr>
          <w:i/>
          <w:iCs/>
          <w:color w:val="000000" w:themeColor="text1"/>
        </w:rPr>
        <w:t>F</w:t>
      </w:r>
      <w:r w:rsidR="002C25F4" w:rsidRPr="00560F5D">
        <w:rPr>
          <w:color w:val="000000" w:themeColor="text1"/>
        </w:rPr>
        <w:t>(</w:t>
      </w:r>
      <w:proofErr w:type="gramEnd"/>
      <w:r w:rsidR="002C25F4" w:rsidRPr="00560F5D">
        <w:rPr>
          <w:color w:val="000000" w:themeColor="text1"/>
        </w:rPr>
        <w:t xml:space="preserve">3, 112) = 2.590, </w:t>
      </w:r>
      <w:r w:rsidR="002C25F4" w:rsidRPr="00560F5D">
        <w:rPr>
          <w:i/>
          <w:iCs/>
          <w:color w:val="000000" w:themeColor="text1"/>
        </w:rPr>
        <w:t>MSE</w:t>
      </w:r>
      <w:r w:rsidR="002C25F4" w:rsidRPr="00560F5D">
        <w:rPr>
          <w:color w:val="000000" w:themeColor="text1"/>
        </w:rPr>
        <w:t xml:space="preserve"> = .004, </w:t>
      </w:r>
      <w:r w:rsidR="002C25F4" w:rsidRPr="00560F5D">
        <w:rPr>
          <w:i/>
          <w:iCs/>
          <w:color w:val="000000" w:themeColor="text1"/>
        </w:rPr>
        <w:t>p</w:t>
      </w:r>
      <w:r w:rsidR="002C25F4" w:rsidRPr="00560F5D">
        <w:rPr>
          <w:color w:val="000000" w:themeColor="text1"/>
        </w:rPr>
        <w:t xml:space="preserve"> = .056, </w:t>
      </w:r>
      <w:r w:rsidR="002C25F4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2C25F4" w:rsidRPr="00560F5D">
        <w:rPr>
          <w:color w:val="000000" w:themeColor="text1"/>
          <w:vertAlign w:val="subscript"/>
          <w:lang w:val="en-US"/>
        </w:rPr>
        <w:t>p</w:t>
      </w:r>
      <w:r w:rsidR="002C25F4" w:rsidRPr="00560F5D">
        <w:rPr>
          <w:color w:val="000000" w:themeColor="text1"/>
          <w:vertAlign w:val="superscript"/>
          <w:lang w:val="en-US"/>
        </w:rPr>
        <w:t>2</w:t>
      </w:r>
      <w:r w:rsidR="002C25F4" w:rsidRPr="00560F5D">
        <w:rPr>
          <w:color w:val="000000" w:themeColor="text1"/>
        </w:rPr>
        <w:t xml:space="preserve"> = .065, and it did not interact with </w:t>
      </w:r>
      <w:r w:rsidR="00981AE8">
        <w:rPr>
          <w:color w:val="000000" w:themeColor="text1"/>
        </w:rPr>
        <w:lastRenderedPageBreak/>
        <w:t>o</w:t>
      </w:r>
      <w:r w:rsidR="00981AE8" w:rsidRPr="00560F5D">
        <w:rPr>
          <w:color w:val="000000" w:themeColor="text1"/>
        </w:rPr>
        <w:t>rganisation</w:t>
      </w:r>
      <w:r w:rsidR="002C25F4" w:rsidRPr="00560F5D">
        <w:rPr>
          <w:color w:val="000000" w:themeColor="text1"/>
        </w:rPr>
        <w:t xml:space="preserve">, </w:t>
      </w:r>
      <w:r w:rsidR="002C25F4" w:rsidRPr="00560F5D">
        <w:rPr>
          <w:i/>
          <w:iCs/>
          <w:color w:val="000000" w:themeColor="text1"/>
        </w:rPr>
        <w:t>F</w:t>
      </w:r>
      <w:r w:rsidR="002C25F4" w:rsidRPr="00560F5D">
        <w:rPr>
          <w:color w:val="000000" w:themeColor="text1"/>
        </w:rPr>
        <w:t xml:space="preserve">(3, 112) = .577, </w:t>
      </w:r>
      <w:r w:rsidR="002C25F4" w:rsidRPr="00560F5D">
        <w:rPr>
          <w:i/>
          <w:iCs/>
          <w:color w:val="000000" w:themeColor="text1"/>
        </w:rPr>
        <w:t>MSE</w:t>
      </w:r>
      <w:r w:rsidR="002C25F4" w:rsidRPr="00560F5D">
        <w:rPr>
          <w:color w:val="000000" w:themeColor="text1"/>
        </w:rPr>
        <w:t xml:space="preserve"> = .004, </w:t>
      </w:r>
      <w:r w:rsidR="002C25F4" w:rsidRPr="00560F5D">
        <w:rPr>
          <w:i/>
          <w:iCs/>
          <w:color w:val="000000" w:themeColor="text1"/>
        </w:rPr>
        <w:t>p</w:t>
      </w:r>
      <w:r w:rsidR="002C25F4" w:rsidRPr="00560F5D">
        <w:rPr>
          <w:color w:val="000000" w:themeColor="text1"/>
        </w:rPr>
        <w:t xml:space="preserve"> = .632, </w:t>
      </w:r>
      <w:r w:rsidR="002C25F4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2C25F4" w:rsidRPr="00560F5D">
        <w:rPr>
          <w:color w:val="000000" w:themeColor="text1"/>
          <w:vertAlign w:val="subscript"/>
          <w:lang w:val="en-US"/>
        </w:rPr>
        <w:t>p</w:t>
      </w:r>
      <w:r w:rsidR="002C25F4" w:rsidRPr="00560F5D">
        <w:rPr>
          <w:color w:val="000000" w:themeColor="text1"/>
          <w:vertAlign w:val="superscript"/>
          <w:lang w:val="en-US"/>
        </w:rPr>
        <w:t>2</w:t>
      </w:r>
      <w:r w:rsidR="002C25F4" w:rsidRPr="00560F5D">
        <w:rPr>
          <w:color w:val="000000" w:themeColor="text1"/>
        </w:rPr>
        <w:t xml:space="preserve"> = .015, or </w:t>
      </w:r>
      <w:r w:rsidR="00981AE8">
        <w:rPr>
          <w:color w:val="000000" w:themeColor="text1"/>
        </w:rPr>
        <w:t>p</w:t>
      </w:r>
      <w:r w:rsidR="002C25F4" w:rsidRPr="00560F5D">
        <w:rPr>
          <w:color w:val="000000" w:themeColor="text1"/>
        </w:rPr>
        <w:t xml:space="preserve">riming </w:t>
      </w:r>
      <w:r w:rsidR="00981AE8">
        <w:rPr>
          <w:color w:val="000000" w:themeColor="text1"/>
        </w:rPr>
        <w:t>s</w:t>
      </w:r>
      <w:r w:rsidR="002C25F4" w:rsidRPr="00560F5D">
        <w:rPr>
          <w:color w:val="000000" w:themeColor="text1"/>
        </w:rPr>
        <w:t xml:space="preserve">tatus, </w:t>
      </w:r>
      <w:r w:rsidR="002C25F4" w:rsidRPr="00560F5D">
        <w:rPr>
          <w:i/>
          <w:iCs/>
          <w:color w:val="000000" w:themeColor="text1"/>
        </w:rPr>
        <w:t>F</w:t>
      </w:r>
      <w:r w:rsidR="002C25F4" w:rsidRPr="00560F5D">
        <w:rPr>
          <w:color w:val="000000" w:themeColor="text1"/>
        </w:rPr>
        <w:t xml:space="preserve">(3, 112) = 1.273, </w:t>
      </w:r>
      <w:r w:rsidR="002C25F4" w:rsidRPr="00560F5D">
        <w:rPr>
          <w:i/>
          <w:iCs/>
          <w:color w:val="000000" w:themeColor="text1"/>
        </w:rPr>
        <w:t>MSE</w:t>
      </w:r>
      <w:r w:rsidR="002C25F4" w:rsidRPr="00560F5D">
        <w:rPr>
          <w:color w:val="000000" w:themeColor="text1"/>
        </w:rPr>
        <w:t xml:space="preserve"> = .004, </w:t>
      </w:r>
      <w:r w:rsidR="002C25F4" w:rsidRPr="00560F5D">
        <w:rPr>
          <w:i/>
          <w:iCs/>
          <w:color w:val="000000" w:themeColor="text1"/>
        </w:rPr>
        <w:t>p</w:t>
      </w:r>
      <w:r w:rsidR="002C25F4" w:rsidRPr="00560F5D">
        <w:rPr>
          <w:color w:val="000000" w:themeColor="text1"/>
        </w:rPr>
        <w:t xml:space="preserve"> = .287, </w:t>
      </w:r>
      <w:r w:rsidR="002C25F4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2C25F4" w:rsidRPr="00560F5D">
        <w:rPr>
          <w:color w:val="000000" w:themeColor="text1"/>
          <w:vertAlign w:val="subscript"/>
          <w:lang w:val="en-US"/>
        </w:rPr>
        <w:t>p</w:t>
      </w:r>
      <w:r w:rsidR="002C25F4" w:rsidRPr="00560F5D">
        <w:rPr>
          <w:color w:val="000000" w:themeColor="text1"/>
          <w:vertAlign w:val="superscript"/>
          <w:lang w:val="en-US"/>
        </w:rPr>
        <w:t>2</w:t>
      </w:r>
      <w:r w:rsidR="002C25F4" w:rsidRPr="00560F5D">
        <w:rPr>
          <w:color w:val="000000" w:themeColor="text1"/>
        </w:rPr>
        <w:t xml:space="preserve"> = .033. Further, the three-way interaction between </w:t>
      </w:r>
      <w:r w:rsidR="00981AE8">
        <w:rPr>
          <w:color w:val="000000" w:themeColor="text1"/>
        </w:rPr>
        <w:t>p</w:t>
      </w:r>
      <w:r w:rsidR="00981AE8" w:rsidRPr="00560F5D">
        <w:rPr>
          <w:color w:val="000000" w:themeColor="text1"/>
        </w:rPr>
        <w:t xml:space="preserve">riming </w:t>
      </w:r>
      <w:r w:rsidR="00981AE8">
        <w:rPr>
          <w:color w:val="000000" w:themeColor="text1"/>
        </w:rPr>
        <w:t>s</w:t>
      </w:r>
      <w:r w:rsidR="00981AE8" w:rsidRPr="00560F5D">
        <w:rPr>
          <w:color w:val="000000" w:themeColor="text1"/>
        </w:rPr>
        <w:t>tatus</w:t>
      </w:r>
      <w:r w:rsidR="002C25F4" w:rsidRPr="00560F5D">
        <w:rPr>
          <w:color w:val="000000" w:themeColor="text1"/>
        </w:rPr>
        <w:t xml:space="preserve">, </w:t>
      </w:r>
      <w:r w:rsidR="00981AE8">
        <w:rPr>
          <w:color w:val="000000" w:themeColor="text1"/>
        </w:rPr>
        <w:t>o</w:t>
      </w:r>
      <w:r w:rsidR="002C25F4" w:rsidRPr="00560F5D">
        <w:rPr>
          <w:color w:val="000000" w:themeColor="text1"/>
        </w:rPr>
        <w:t xml:space="preserve">rganisation and </w:t>
      </w:r>
      <w:r w:rsidR="00981AE8">
        <w:rPr>
          <w:color w:val="000000" w:themeColor="text1"/>
        </w:rPr>
        <w:t>s</w:t>
      </w:r>
      <w:r w:rsidR="00981AE8" w:rsidRPr="00560F5D">
        <w:rPr>
          <w:color w:val="000000" w:themeColor="text1"/>
        </w:rPr>
        <w:t xml:space="preserve">et </w:t>
      </w:r>
      <w:r w:rsidR="002C25F4" w:rsidRPr="00560F5D">
        <w:rPr>
          <w:color w:val="000000" w:themeColor="text1"/>
        </w:rPr>
        <w:t xml:space="preserve">was not significant, </w:t>
      </w:r>
      <w:proofErr w:type="gramStart"/>
      <w:r w:rsidR="002C25F4" w:rsidRPr="00560F5D">
        <w:rPr>
          <w:i/>
          <w:iCs/>
          <w:color w:val="000000" w:themeColor="text1"/>
        </w:rPr>
        <w:t>F</w:t>
      </w:r>
      <w:r w:rsidR="002C25F4" w:rsidRPr="00560F5D">
        <w:rPr>
          <w:color w:val="000000" w:themeColor="text1"/>
        </w:rPr>
        <w:t>(</w:t>
      </w:r>
      <w:proofErr w:type="gramEnd"/>
      <w:r w:rsidR="002C25F4" w:rsidRPr="00560F5D">
        <w:rPr>
          <w:color w:val="000000" w:themeColor="text1"/>
        </w:rPr>
        <w:t xml:space="preserve">3, 112) = 0.520, </w:t>
      </w:r>
      <w:r w:rsidR="002C25F4" w:rsidRPr="00560F5D">
        <w:rPr>
          <w:i/>
          <w:iCs/>
          <w:color w:val="000000" w:themeColor="text1"/>
        </w:rPr>
        <w:t>MSE</w:t>
      </w:r>
      <w:r w:rsidR="002C25F4" w:rsidRPr="00560F5D">
        <w:rPr>
          <w:color w:val="000000" w:themeColor="text1"/>
        </w:rPr>
        <w:t xml:space="preserve"> = .004, </w:t>
      </w:r>
      <w:r w:rsidR="002C25F4" w:rsidRPr="00560F5D">
        <w:rPr>
          <w:i/>
          <w:iCs/>
          <w:color w:val="000000" w:themeColor="text1"/>
        </w:rPr>
        <w:t>p</w:t>
      </w:r>
      <w:r w:rsidR="002C25F4" w:rsidRPr="00560F5D">
        <w:rPr>
          <w:color w:val="000000" w:themeColor="text1"/>
        </w:rPr>
        <w:t xml:space="preserve"> = .669, </w:t>
      </w:r>
      <w:r w:rsidR="002C25F4" w:rsidRPr="00560F5D">
        <w:rPr>
          <w:rFonts w:ascii="Symbol" w:eastAsia="Symbol" w:hAnsi="Symbol" w:cs="Symbol"/>
          <w:color w:val="000000" w:themeColor="text1"/>
          <w:lang w:val="en-US"/>
        </w:rPr>
        <w:sym w:font="Symbol" w:char="F068"/>
      </w:r>
      <w:r w:rsidR="002C25F4" w:rsidRPr="00560F5D">
        <w:rPr>
          <w:color w:val="000000" w:themeColor="text1"/>
          <w:vertAlign w:val="subscript"/>
          <w:lang w:val="en-US"/>
        </w:rPr>
        <w:t>p</w:t>
      </w:r>
      <w:r w:rsidR="002C25F4" w:rsidRPr="00560F5D">
        <w:rPr>
          <w:color w:val="000000" w:themeColor="text1"/>
          <w:vertAlign w:val="superscript"/>
          <w:lang w:val="en-US"/>
        </w:rPr>
        <w:t>2</w:t>
      </w:r>
      <w:r w:rsidR="002C25F4" w:rsidRPr="00560F5D">
        <w:rPr>
          <w:color w:val="000000" w:themeColor="text1"/>
        </w:rPr>
        <w:t xml:space="preserve"> = .014.</w:t>
      </w:r>
    </w:p>
    <w:p w14:paraId="0DE07034" w14:textId="54C82161" w:rsidR="00DA36CA" w:rsidRDefault="002C25F4" w:rsidP="00DC6265">
      <w:pPr>
        <w:spacing w:line="480" w:lineRule="auto"/>
        <w:ind w:firstLine="720"/>
        <w:rPr>
          <w:color w:val="000000" w:themeColor="text1"/>
        </w:rPr>
      </w:pPr>
      <w:r w:rsidRPr="00607B15">
        <w:rPr>
          <w:color w:val="000000" w:themeColor="text1"/>
        </w:rPr>
        <w:t xml:space="preserve">The same analysis was undertaken using </w:t>
      </w:r>
      <w:proofErr w:type="spellStart"/>
      <w:r w:rsidRPr="00607B15">
        <w:rPr>
          <w:color w:val="000000" w:themeColor="text1"/>
        </w:rPr>
        <w:t>unprimed</w:t>
      </w:r>
      <w:proofErr w:type="spellEnd"/>
      <w:r w:rsidRPr="00607B15">
        <w:rPr>
          <w:color w:val="000000" w:themeColor="text1"/>
        </w:rPr>
        <w:t xml:space="preserve"> responses.</w:t>
      </w:r>
      <w:r w:rsidR="00D514A7" w:rsidRPr="00607B15">
        <w:rPr>
          <w:color w:val="000000" w:themeColor="text1"/>
        </w:rPr>
        <w:t xml:space="preserve"> This yielded n</w:t>
      </w:r>
      <w:r w:rsidRPr="00607B15">
        <w:rPr>
          <w:color w:val="000000" w:themeColor="text1"/>
        </w:rPr>
        <w:t>o main</w:t>
      </w:r>
      <w:r w:rsidRPr="00560F5D">
        <w:rPr>
          <w:color w:val="000000" w:themeColor="text1"/>
        </w:rPr>
        <w:t xml:space="preserve"> effect of </w:t>
      </w:r>
      <w:r w:rsidR="00981AE8">
        <w:rPr>
          <w:color w:val="000000" w:themeColor="text1"/>
        </w:rPr>
        <w:t>s</w:t>
      </w:r>
      <w:r w:rsidR="00981AE8" w:rsidRPr="00560F5D">
        <w:rPr>
          <w:color w:val="000000" w:themeColor="text1"/>
        </w:rPr>
        <w:t>et</w:t>
      </w:r>
      <w:r w:rsidRPr="00560F5D">
        <w:rPr>
          <w:color w:val="000000" w:themeColor="text1"/>
        </w:rPr>
        <w:t xml:space="preserve">, </w:t>
      </w:r>
      <w:proofErr w:type="gramStart"/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>(</w:t>
      </w:r>
      <w:proofErr w:type="gramEnd"/>
      <w:r w:rsidRPr="00560F5D">
        <w:rPr>
          <w:color w:val="000000" w:themeColor="text1"/>
        </w:rPr>
        <w:t xml:space="preserve">3, 112) = 0.611, </w:t>
      </w:r>
      <w:r w:rsidRPr="00560F5D">
        <w:rPr>
          <w:i/>
          <w:iCs/>
          <w:color w:val="000000" w:themeColor="text1"/>
        </w:rPr>
        <w:t>MSE</w:t>
      </w:r>
      <w:r w:rsidRPr="00560F5D">
        <w:rPr>
          <w:color w:val="000000" w:themeColor="text1"/>
        </w:rPr>
        <w:t xml:space="preserve"> = .002,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= .609,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t></w:t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.002, </w:t>
      </w:r>
      <w:r w:rsidR="00D514A7" w:rsidRPr="00560F5D">
        <w:rPr>
          <w:color w:val="000000" w:themeColor="text1"/>
        </w:rPr>
        <w:t>n</w:t>
      </w:r>
      <w:r w:rsidRPr="00560F5D">
        <w:rPr>
          <w:color w:val="000000" w:themeColor="text1"/>
        </w:rPr>
        <w:t>or</w:t>
      </w:r>
      <w:r w:rsidR="00BB7E42">
        <w:rPr>
          <w:color w:val="000000" w:themeColor="text1"/>
        </w:rPr>
        <w:t xml:space="preserve"> a</w:t>
      </w:r>
      <w:r w:rsidRPr="00560F5D">
        <w:rPr>
          <w:color w:val="000000" w:themeColor="text1"/>
        </w:rPr>
        <w:t xml:space="preserve"> </w:t>
      </w:r>
      <w:r w:rsidR="00796B37">
        <w:rPr>
          <w:color w:val="000000" w:themeColor="text1"/>
        </w:rPr>
        <w:t>s</w:t>
      </w:r>
      <w:r w:rsidRPr="00560F5D">
        <w:rPr>
          <w:color w:val="000000" w:themeColor="text1"/>
        </w:rPr>
        <w:t xml:space="preserve">et </w:t>
      </w:r>
      <w:r w:rsidR="00D514A7" w:rsidRPr="00560F5D">
        <w:rPr>
          <w:color w:val="000000" w:themeColor="text1"/>
        </w:rPr>
        <w:t>×</w:t>
      </w:r>
      <w:r w:rsidRPr="00560F5D">
        <w:rPr>
          <w:color w:val="000000" w:themeColor="text1"/>
        </w:rPr>
        <w:t xml:space="preserve"> </w:t>
      </w:r>
      <w:r w:rsidR="00796B37">
        <w:rPr>
          <w:color w:val="000000" w:themeColor="text1"/>
        </w:rPr>
        <w:t>o</w:t>
      </w:r>
      <w:r w:rsidR="00796B37" w:rsidRPr="00560F5D">
        <w:rPr>
          <w:color w:val="000000" w:themeColor="text1"/>
        </w:rPr>
        <w:t xml:space="preserve">rganisation </w:t>
      </w:r>
      <w:r w:rsidRPr="00560F5D">
        <w:rPr>
          <w:color w:val="000000" w:themeColor="text1"/>
        </w:rPr>
        <w:t xml:space="preserve">interaction, </w:t>
      </w:r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 xml:space="preserve">(3, 112) = 0.846, </w:t>
      </w:r>
      <w:r w:rsidRPr="00560F5D">
        <w:rPr>
          <w:i/>
          <w:iCs/>
          <w:color w:val="000000" w:themeColor="text1"/>
        </w:rPr>
        <w:t>MSE</w:t>
      </w:r>
      <w:r w:rsidRPr="00560F5D">
        <w:rPr>
          <w:color w:val="000000" w:themeColor="text1"/>
        </w:rPr>
        <w:t xml:space="preserve"> = .002,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= .472,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t></w:t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.022. </w:t>
      </w:r>
      <w:r w:rsidR="00C743D6" w:rsidRPr="00560F5D">
        <w:rPr>
          <w:color w:val="000000" w:themeColor="text1"/>
        </w:rPr>
        <w:t>The three-way interaction was</w:t>
      </w:r>
      <w:r w:rsidR="00D514A7" w:rsidRPr="00560F5D">
        <w:rPr>
          <w:color w:val="000000" w:themeColor="text1"/>
        </w:rPr>
        <w:t xml:space="preserve"> also</w:t>
      </w:r>
      <w:r w:rsidR="00C743D6" w:rsidRPr="00560F5D">
        <w:rPr>
          <w:color w:val="000000" w:themeColor="text1"/>
        </w:rPr>
        <w:t xml:space="preserve"> no</w:t>
      </w:r>
      <w:r w:rsidR="00D514A7" w:rsidRPr="00560F5D">
        <w:rPr>
          <w:color w:val="000000" w:themeColor="text1"/>
        </w:rPr>
        <w:t>n-</w:t>
      </w:r>
      <w:r w:rsidR="00C743D6" w:rsidRPr="00560F5D">
        <w:rPr>
          <w:color w:val="000000" w:themeColor="text1"/>
        </w:rPr>
        <w:t xml:space="preserve">significant, </w:t>
      </w:r>
      <w:proofErr w:type="gramStart"/>
      <w:r w:rsidR="00C743D6" w:rsidRPr="00560F5D">
        <w:rPr>
          <w:i/>
          <w:iCs/>
          <w:color w:val="000000" w:themeColor="text1"/>
        </w:rPr>
        <w:t>F</w:t>
      </w:r>
      <w:r w:rsidR="00C743D6" w:rsidRPr="00560F5D">
        <w:rPr>
          <w:color w:val="000000" w:themeColor="text1"/>
        </w:rPr>
        <w:t>(</w:t>
      </w:r>
      <w:proofErr w:type="gramEnd"/>
      <w:r w:rsidR="00C743D6" w:rsidRPr="00560F5D">
        <w:rPr>
          <w:color w:val="000000" w:themeColor="text1"/>
        </w:rPr>
        <w:t xml:space="preserve">3, 112) = 1.125, </w:t>
      </w:r>
      <w:r w:rsidR="00C743D6" w:rsidRPr="00560F5D">
        <w:rPr>
          <w:i/>
          <w:iCs/>
          <w:color w:val="000000" w:themeColor="text1"/>
        </w:rPr>
        <w:t>MSE</w:t>
      </w:r>
      <w:r w:rsidR="00C743D6" w:rsidRPr="00560F5D">
        <w:rPr>
          <w:color w:val="000000" w:themeColor="text1"/>
        </w:rPr>
        <w:t xml:space="preserve"> = .001, </w:t>
      </w:r>
      <w:r w:rsidR="00C743D6" w:rsidRPr="00560F5D">
        <w:rPr>
          <w:i/>
          <w:iCs/>
          <w:color w:val="000000" w:themeColor="text1"/>
        </w:rPr>
        <w:t>p</w:t>
      </w:r>
      <w:r w:rsidR="00C743D6" w:rsidRPr="00560F5D">
        <w:rPr>
          <w:color w:val="000000" w:themeColor="text1"/>
        </w:rPr>
        <w:t xml:space="preserve"> = .342, </w:t>
      </w:r>
      <w:r w:rsidR="00C743D6" w:rsidRPr="00560F5D">
        <w:rPr>
          <w:rFonts w:ascii="Symbol" w:eastAsia="Symbol" w:hAnsi="Symbol" w:cs="Symbol"/>
          <w:color w:val="000000" w:themeColor="text1"/>
          <w:lang w:val="en-US"/>
        </w:rPr>
        <w:t></w:t>
      </w:r>
      <w:r w:rsidR="00C743D6" w:rsidRPr="00560F5D">
        <w:rPr>
          <w:color w:val="000000" w:themeColor="text1"/>
          <w:vertAlign w:val="subscript"/>
          <w:lang w:val="en-US"/>
        </w:rPr>
        <w:t>p</w:t>
      </w:r>
      <w:r w:rsidR="00C743D6" w:rsidRPr="00560F5D">
        <w:rPr>
          <w:color w:val="000000" w:themeColor="text1"/>
          <w:vertAlign w:val="superscript"/>
          <w:lang w:val="en-US"/>
        </w:rPr>
        <w:t>2</w:t>
      </w:r>
      <w:r w:rsidR="00C743D6" w:rsidRPr="00560F5D">
        <w:rPr>
          <w:color w:val="000000" w:themeColor="text1"/>
        </w:rPr>
        <w:t xml:space="preserve"> = .029.</w:t>
      </w:r>
      <w:r w:rsidR="00D514A7" w:rsidRPr="00560F5D">
        <w:rPr>
          <w:color w:val="000000" w:themeColor="text1"/>
        </w:rPr>
        <w:t xml:space="preserve"> </w:t>
      </w:r>
      <w:r w:rsidRPr="00560F5D">
        <w:rPr>
          <w:color w:val="000000" w:themeColor="text1"/>
        </w:rPr>
        <w:t xml:space="preserve">However, there was a two-way interaction between </w:t>
      </w:r>
      <w:r w:rsidR="00796B37">
        <w:rPr>
          <w:color w:val="000000" w:themeColor="text1"/>
        </w:rPr>
        <w:t>p</w:t>
      </w:r>
      <w:r w:rsidRPr="00560F5D">
        <w:rPr>
          <w:color w:val="000000" w:themeColor="text1"/>
        </w:rPr>
        <w:t xml:space="preserve">riming </w:t>
      </w:r>
      <w:r w:rsidR="00796B37">
        <w:rPr>
          <w:color w:val="000000" w:themeColor="text1"/>
        </w:rPr>
        <w:t>s</w:t>
      </w:r>
      <w:r w:rsidR="00796B37" w:rsidRPr="00560F5D">
        <w:rPr>
          <w:color w:val="000000" w:themeColor="text1"/>
        </w:rPr>
        <w:t xml:space="preserve">tatus </w:t>
      </w:r>
      <w:r w:rsidRPr="00560F5D">
        <w:rPr>
          <w:color w:val="000000" w:themeColor="text1"/>
        </w:rPr>
        <w:t xml:space="preserve">and </w:t>
      </w:r>
      <w:r w:rsidR="00796B37">
        <w:rPr>
          <w:color w:val="000000" w:themeColor="text1"/>
        </w:rPr>
        <w:t>s</w:t>
      </w:r>
      <w:r w:rsidR="00796B37" w:rsidRPr="00560F5D">
        <w:rPr>
          <w:color w:val="000000" w:themeColor="text1"/>
        </w:rPr>
        <w:t>et</w:t>
      </w:r>
      <w:r w:rsidRPr="00560F5D">
        <w:rPr>
          <w:color w:val="000000" w:themeColor="text1"/>
        </w:rPr>
        <w:t xml:space="preserve">, </w:t>
      </w:r>
      <w:proofErr w:type="gramStart"/>
      <w:r w:rsidRPr="00560F5D">
        <w:rPr>
          <w:i/>
          <w:iCs/>
          <w:color w:val="000000" w:themeColor="text1"/>
        </w:rPr>
        <w:t>F</w:t>
      </w:r>
      <w:r w:rsidRPr="00560F5D">
        <w:rPr>
          <w:color w:val="000000" w:themeColor="text1"/>
        </w:rPr>
        <w:t>(</w:t>
      </w:r>
      <w:proofErr w:type="gramEnd"/>
      <w:r w:rsidRPr="00560F5D">
        <w:rPr>
          <w:color w:val="000000" w:themeColor="text1"/>
        </w:rPr>
        <w:t xml:space="preserve">3, 112) = 6.589, </w:t>
      </w:r>
      <w:r w:rsidRPr="00560F5D">
        <w:rPr>
          <w:i/>
          <w:iCs/>
          <w:color w:val="000000" w:themeColor="text1"/>
        </w:rPr>
        <w:t>MSE</w:t>
      </w:r>
      <w:r w:rsidRPr="00560F5D">
        <w:rPr>
          <w:color w:val="000000" w:themeColor="text1"/>
        </w:rPr>
        <w:t xml:space="preserve"> = 0.001, </w:t>
      </w:r>
      <w:r w:rsidRPr="00560F5D">
        <w:rPr>
          <w:i/>
          <w:iCs/>
          <w:color w:val="000000" w:themeColor="text1"/>
        </w:rPr>
        <w:t>p</w:t>
      </w:r>
      <w:r w:rsidRPr="00560F5D">
        <w:rPr>
          <w:color w:val="000000" w:themeColor="text1"/>
        </w:rPr>
        <w:t xml:space="preserve"> &lt; .001, </w:t>
      </w:r>
      <w:r w:rsidRPr="00560F5D">
        <w:rPr>
          <w:rFonts w:ascii="Symbol" w:eastAsia="Symbol" w:hAnsi="Symbol" w:cs="Symbol"/>
          <w:color w:val="000000" w:themeColor="text1"/>
          <w:lang w:val="en-US"/>
        </w:rPr>
        <w:t></w:t>
      </w:r>
      <w:r w:rsidRPr="00560F5D">
        <w:rPr>
          <w:color w:val="000000" w:themeColor="text1"/>
          <w:vertAlign w:val="subscript"/>
          <w:lang w:val="en-US"/>
        </w:rPr>
        <w:t>p</w:t>
      </w:r>
      <w:r w:rsidRPr="00560F5D">
        <w:rPr>
          <w:color w:val="000000" w:themeColor="text1"/>
          <w:vertAlign w:val="superscript"/>
          <w:lang w:val="en-US"/>
        </w:rPr>
        <w:t>2</w:t>
      </w:r>
      <w:r w:rsidRPr="00560F5D">
        <w:rPr>
          <w:color w:val="000000" w:themeColor="text1"/>
        </w:rPr>
        <w:t xml:space="preserve"> = .150. </w:t>
      </w:r>
      <w:r w:rsidR="00D514A7" w:rsidRPr="00560F5D">
        <w:rPr>
          <w:color w:val="000000" w:themeColor="text1"/>
        </w:rPr>
        <w:t xml:space="preserve">Simple effects analysis (LSD) revealed that the production frequency of </w:t>
      </w:r>
      <w:proofErr w:type="spellStart"/>
      <w:r w:rsidR="00D514A7" w:rsidRPr="00560F5D">
        <w:rPr>
          <w:color w:val="000000" w:themeColor="text1"/>
        </w:rPr>
        <w:t>unprimed</w:t>
      </w:r>
      <w:proofErr w:type="spellEnd"/>
      <w:r w:rsidR="00D514A7" w:rsidRPr="00560F5D">
        <w:rPr>
          <w:color w:val="000000" w:themeColor="text1"/>
        </w:rPr>
        <w:t xml:space="preserve"> items was significantly lower than </w:t>
      </w:r>
      <w:r w:rsidR="00A62FAE">
        <w:rPr>
          <w:color w:val="000000" w:themeColor="text1"/>
        </w:rPr>
        <w:t xml:space="preserve">non-primed </w:t>
      </w:r>
      <w:r w:rsidR="00D514A7" w:rsidRPr="00560F5D">
        <w:rPr>
          <w:color w:val="000000" w:themeColor="text1"/>
        </w:rPr>
        <w:t xml:space="preserve">control items when Set 1A, </w:t>
      </w:r>
      <w:r w:rsidR="00D514A7" w:rsidRPr="00560F5D">
        <w:rPr>
          <w:i/>
          <w:iCs/>
          <w:color w:val="000000" w:themeColor="text1"/>
        </w:rPr>
        <w:t>p</w:t>
      </w:r>
      <w:r w:rsidR="00D514A7" w:rsidRPr="00560F5D">
        <w:rPr>
          <w:color w:val="000000" w:themeColor="text1"/>
        </w:rPr>
        <w:t xml:space="preserve"> = .009, 95% </w:t>
      </w:r>
      <w:proofErr w:type="gramStart"/>
      <w:r w:rsidR="00D514A7" w:rsidRPr="00560F5D">
        <w:rPr>
          <w:color w:val="000000" w:themeColor="text1"/>
        </w:rPr>
        <w:t>CI[</w:t>
      </w:r>
      <w:proofErr w:type="gramEnd"/>
      <w:r w:rsidR="00D514A7" w:rsidRPr="00560F5D">
        <w:rPr>
          <w:color w:val="000000" w:themeColor="text1"/>
        </w:rPr>
        <w:t>-.038, -.006]</w:t>
      </w:r>
      <w:r w:rsidR="004D52FC">
        <w:rPr>
          <w:color w:val="000000" w:themeColor="text1"/>
        </w:rPr>
        <w:t xml:space="preserve">, </w:t>
      </w:r>
      <w:r w:rsidR="004D52FC" w:rsidRPr="00560F5D">
        <w:rPr>
          <w:color w:val="000000" w:themeColor="text1"/>
        </w:rPr>
        <w:t xml:space="preserve">Cohen’s </w:t>
      </w:r>
      <w:proofErr w:type="spellStart"/>
      <w:r w:rsidR="004D52FC" w:rsidRPr="00560F5D">
        <w:rPr>
          <w:i/>
          <w:iCs/>
          <w:color w:val="000000" w:themeColor="text1"/>
        </w:rPr>
        <w:t>dz</w:t>
      </w:r>
      <w:proofErr w:type="spellEnd"/>
      <w:r w:rsidR="004D52FC" w:rsidRPr="00560F5D">
        <w:rPr>
          <w:color w:val="000000" w:themeColor="text1"/>
        </w:rPr>
        <w:t xml:space="preserve"> = 0.</w:t>
      </w:r>
      <w:r w:rsidR="004D52FC">
        <w:rPr>
          <w:color w:val="000000" w:themeColor="text1"/>
        </w:rPr>
        <w:t>45</w:t>
      </w:r>
      <w:r w:rsidR="00E927CE">
        <w:rPr>
          <w:color w:val="000000" w:themeColor="text1"/>
        </w:rPr>
        <w:t>2</w:t>
      </w:r>
      <w:r w:rsidR="004D52FC" w:rsidRPr="00560F5D">
        <w:rPr>
          <w:color w:val="000000" w:themeColor="text1"/>
        </w:rPr>
        <w:t>,</w:t>
      </w:r>
      <w:r w:rsidR="004D52FC" w:rsidRPr="00C92BD4">
        <w:rPr>
          <w:color w:val="000000" w:themeColor="text1"/>
        </w:rPr>
        <w:t xml:space="preserve"> </w:t>
      </w:r>
      <w:r w:rsidR="00C92BD4">
        <w:rPr>
          <w:color w:val="000000" w:themeColor="text1"/>
        </w:rPr>
        <w:t>BF</w:t>
      </w:r>
      <w:r w:rsidR="00C92BD4" w:rsidRPr="00C92BD4">
        <w:rPr>
          <w:color w:val="000000" w:themeColor="text1"/>
          <w:vertAlign w:val="subscript"/>
        </w:rPr>
        <w:t>10</w:t>
      </w:r>
      <w:r w:rsid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2.585</w:t>
      </w:r>
      <w:r w:rsidR="004D52FC" w:rsidRPr="00C92BD4">
        <w:rPr>
          <w:color w:val="000000" w:themeColor="text1"/>
        </w:rPr>
        <w:t xml:space="preserve">, </w:t>
      </w:r>
      <w:r w:rsidR="006D10FB" w:rsidRPr="00C92BD4">
        <w:rPr>
          <w:color w:val="000000" w:themeColor="text1"/>
        </w:rPr>
        <w:t xml:space="preserve">and </w:t>
      </w:r>
      <w:r w:rsidR="00D514A7" w:rsidRPr="00C92BD4">
        <w:rPr>
          <w:color w:val="000000" w:themeColor="text1"/>
        </w:rPr>
        <w:t xml:space="preserve">Set 1B, </w:t>
      </w:r>
      <w:r w:rsidR="00D514A7" w:rsidRPr="00C92BD4">
        <w:rPr>
          <w:i/>
          <w:iCs/>
          <w:color w:val="000000" w:themeColor="text1"/>
        </w:rPr>
        <w:t>p</w:t>
      </w:r>
      <w:r w:rsidR="00D514A7" w:rsidRPr="00C92BD4">
        <w:rPr>
          <w:color w:val="000000" w:themeColor="text1"/>
        </w:rPr>
        <w:t xml:space="preserve"> = .011, CI[-.038, -.005]</w:t>
      </w:r>
      <w:r w:rsidR="004D52FC" w:rsidRPr="00C92BD4">
        <w:rPr>
          <w:color w:val="000000" w:themeColor="text1"/>
        </w:rPr>
        <w:t xml:space="preserve">, Cohen’s </w:t>
      </w:r>
      <w:proofErr w:type="spellStart"/>
      <w:r w:rsidR="004D52FC" w:rsidRPr="00C92BD4">
        <w:rPr>
          <w:i/>
          <w:iCs/>
          <w:color w:val="000000" w:themeColor="text1"/>
        </w:rPr>
        <w:t>dz</w:t>
      </w:r>
      <w:proofErr w:type="spellEnd"/>
      <w:r w:rsidR="004D52FC" w:rsidRPr="00C92BD4">
        <w:rPr>
          <w:color w:val="000000" w:themeColor="text1"/>
        </w:rPr>
        <w:t xml:space="preserve"> = 0.486, </w:t>
      </w:r>
      <w:r w:rsidR="00C92BD4">
        <w:rPr>
          <w:color w:val="000000" w:themeColor="text1"/>
        </w:rPr>
        <w:t>BF</w:t>
      </w:r>
      <w:r w:rsidR="00C92BD4" w:rsidRPr="00C92BD4">
        <w:rPr>
          <w:color w:val="000000" w:themeColor="text1"/>
          <w:vertAlign w:val="subscript"/>
        </w:rPr>
        <w:t>10</w:t>
      </w:r>
      <w:r w:rsid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3.713</w:t>
      </w:r>
      <w:r w:rsidR="00E927CE" w:rsidRPr="00C92BD4">
        <w:rPr>
          <w:color w:val="000000" w:themeColor="text1"/>
        </w:rPr>
        <w:t>,</w:t>
      </w:r>
      <w:r w:rsidR="00D514A7" w:rsidRPr="00C92BD4">
        <w:rPr>
          <w:color w:val="000000" w:themeColor="text1"/>
        </w:rPr>
        <w:t xml:space="preserve"> were primed. However, the production frequency of </w:t>
      </w:r>
      <w:proofErr w:type="spellStart"/>
      <w:r w:rsidR="00D514A7" w:rsidRPr="00C92BD4">
        <w:rPr>
          <w:color w:val="000000" w:themeColor="text1"/>
        </w:rPr>
        <w:t>unprimed</w:t>
      </w:r>
      <w:proofErr w:type="spellEnd"/>
      <w:r w:rsidR="00D514A7" w:rsidRPr="00C92BD4">
        <w:rPr>
          <w:color w:val="000000" w:themeColor="text1"/>
        </w:rPr>
        <w:t xml:space="preserve"> items was significantly higher than </w:t>
      </w:r>
      <w:r w:rsidR="00A62FAE" w:rsidRPr="00C92BD4">
        <w:rPr>
          <w:color w:val="000000" w:themeColor="text1"/>
        </w:rPr>
        <w:t xml:space="preserve">non-primed </w:t>
      </w:r>
      <w:r w:rsidR="00D514A7" w:rsidRPr="00C92BD4">
        <w:rPr>
          <w:color w:val="000000" w:themeColor="text1"/>
        </w:rPr>
        <w:t xml:space="preserve">control items when Set 2B, </w:t>
      </w:r>
      <w:r w:rsidR="00D514A7" w:rsidRPr="00C92BD4">
        <w:rPr>
          <w:i/>
          <w:iCs/>
          <w:color w:val="000000" w:themeColor="text1"/>
        </w:rPr>
        <w:t>p</w:t>
      </w:r>
      <w:r w:rsidR="00D514A7" w:rsidRPr="00C92BD4">
        <w:rPr>
          <w:color w:val="000000" w:themeColor="text1"/>
        </w:rPr>
        <w:t xml:space="preserve"> = .006, 95% </w:t>
      </w:r>
      <w:proofErr w:type="gramStart"/>
      <w:r w:rsidR="00D514A7" w:rsidRPr="00C92BD4">
        <w:rPr>
          <w:color w:val="000000" w:themeColor="text1"/>
        </w:rPr>
        <w:t>CI[</w:t>
      </w:r>
      <w:proofErr w:type="gramEnd"/>
      <w:r w:rsidR="00D514A7" w:rsidRPr="00C92BD4">
        <w:rPr>
          <w:color w:val="000000" w:themeColor="text1"/>
        </w:rPr>
        <w:t>.007, .040]</w:t>
      </w:r>
      <w:r w:rsidR="00E927CE" w:rsidRPr="00C92BD4">
        <w:rPr>
          <w:color w:val="000000" w:themeColor="text1"/>
        </w:rPr>
        <w:t xml:space="preserve">, Cohen’s </w:t>
      </w:r>
      <w:proofErr w:type="spellStart"/>
      <w:r w:rsidR="00E927CE" w:rsidRPr="00C92BD4">
        <w:rPr>
          <w:i/>
          <w:iCs/>
          <w:color w:val="000000" w:themeColor="text1"/>
        </w:rPr>
        <w:t>dz</w:t>
      </w:r>
      <w:proofErr w:type="spellEnd"/>
      <w:r w:rsidR="00E927CE" w:rsidRPr="00C92BD4">
        <w:rPr>
          <w:color w:val="000000" w:themeColor="text1"/>
        </w:rPr>
        <w:t xml:space="preserve"> = 0.524,</w:t>
      </w:r>
      <w:r w:rsidR="00C92BD4">
        <w:rPr>
          <w:color w:val="000000" w:themeColor="text1"/>
        </w:rPr>
        <w:t xml:space="preserve"> BF</w:t>
      </w:r>
      <w:r w:rsidR="00C92BD4" w:rsidRPr="00C92BD4">
        <w:rPr>
          <w:color w:val="000000" w:themeColor="text1"/>
          <w:vertAlign w:val="subscript"/>
        </w:rPr>
        <w:t>10</w:t>
      </w:r>
      <w:r w:rsid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5.666</w:t>
      </w:r>
      <w:r w:rsidR="00E927CE" w:rsidRPr="00C92BD4">
        <w:rPr>
          <w:color w:val="000000" w:themeColor="text1"/>
        </w:rPr>
        <w:t>,</w:t>
      </w:r>
      <w:r w:rsidR="00D514A7" w:rsidRPr="00C92BD4">
        <w:rPr>
          <w:color w:val="000000" w:themeColor="text1"/>
        </w:rPr>
        <w:t xml:space="preserve"> was primed and did not differ from the </w:t>
      </w:r>
      <w:r w:rsidR="00A62FAE" w:rsidRPr="00C92BD4">
        <w:rPr>
          <w:color w:val="000000" w:themeColor="text1"/>
        </w:rPr>
        <w:t xml:space="preserve">non-primed </w:t>
      </w:r>
      <w:r w:rsidR="00D514A7" w:rsidRPr="00C92BD4">
        <w:rPr>
          <w:color w:val="000000" w:themeColor="text1"/>
        </w:rPr>
        <w:t xml:space="preserve">control when Set 2A was primed, </w:t>
      </w:r>
      <w:r w:rsidR="00D514A7" w:rsidRPr="00C92BD4">
        <w:rPr>
          <w:i/>
          <w:iCs/>
          <w:color w:val="000000" w:themeColor="text1"/>
        </w:rPr>
        <w:t>p</w:t>
      </w:r>
      <w:r w:rsidR="00D514A7" w:rsidRPr="00C92BD4">
        <w:rPr>
          <w:color w:val="000000" w:themeColor="text1"/>
        </w:rPr>
        <w:t xml:space="preserve"> = .754, 95% CI[-.014, .019]</w:t>
      </w:r>
      <w:r w:rsidR="00E927CE" w:rsidRPr="00C92BD4">
        <w:rPr>
          <w:color w:val="000000" w:themeColor="text1"/>
        </w:rPr>
        <w:t xml:space="preserve">, Cohen’s </w:t>
      </w:r>
      <w:proofErr w:type="spellStart"/>
      <w:r w:rsidR="00E927CE" w:rsidRPr="00C92BD4">
        <w:rPr>
          <w:i/>
          <w:iCs/>
          <w:color w:val="000000" w:themeColor="text1"/>
        </w:rPr>
        <w:t>dz</w:t>
      </w:r>
      <w:proofErr w:type="spellEnd"/>
      <w:r w:rsidR="00E927CE" w:rsidRPr="00C92BD4">
        <w:rPr>
          <w:color w:val="000000" w:themeColor="text1"/>
        </w:rPr>
        <w:t xml:space="preserve"> = 0.058, </w:t>
      </w:r>
      <w:r w:rsidR="00C92BD4">
        <w:rPr>
          <w:color w:val="000000" w:themeColor="text1"/>
        </w:rPr>
        <w:t>BF</w:t>
      </w:r>
      <w:r w:rsidR="00C92BD4" w:rsidRPr="00C92BD4">
        <w:rPr>
          <w:color w:val="000000" w:themeColor="text1"/>
          <w:vertAlign w:val="subscript"/>
        </w:rPr>
        <w:t>01</w:t>
      </w:r>
      <w:r w:rsidR="00C92BD4">
        <w:rPr>
          <w:color w:val="000000" w:themeColor="text1"/>
        </w:rPr>
        <w:t xml:space="preserve"> = </w:t>
      </w:r>
      <w:r w:rsidR="00C92BD4" w:rsidRPr="00C92BD4">
        <w:rPr>
          <w:color w:val="000000" w:themeColor="text1"/>
        </w:rPr>
        <w:t>4.907</w:t>
      </w:r>
      <w:r w:rsidR="00D514A7" w:rsidRPr="00C92BD4">
        <w:rPr>
          <w:color w:val="000000" w:themeColor="text1"/>
        </w:rPr>
        <w:t>. Thus</w:t>
      </w:r>
      <w:r w:rsidR="00560F5D">
        <w:rPr>
          <w:color w:val="000000" w:themeColor="text1"/>
        </w:rPr>
        <w:t>,</w:t>
      </w:r>
      <w:r w:rsidR="00D514A7" w:rsidRPr="00560F5D">
        <w:rPr>
          <w:color w:val="000000" w:themeColor="text1"/>
        </w:rPr>
        <w:t xml:space="preserve"> there is no evidence that the production frequencies of </w:t>
      </w:r>
      <w:proofErr w:type="spellStart"/>
      <w:r w:rsidR="00D514A7" w:rsidRPr="00560F5D">
        <w:rPr>
          <w:color w:val="000000" w:themeColor="text1"/>
        </w:rPr>
        <w:t>unprimed</w:t>
      </w:r>
      <w:proofErr w:type="spellEnd"/>
      <w:r w:rsidR="00D514A7" w:rsidRPr="00560F5D">
        <w:rPr>
          <w:color w:val="000000" w:themeColor="text1"/>
        </w:rPr>
        <w:t xml:space="preserve"> items </w:t>
      </w:r>
      <w:r w:rsidR="00BB7E42">
        <w:rPr>
          <w:color w:val="000000" w:themeColor="text1"/>
        </w:rPr>
        <w:t>were</w:t>
      </w:r>
      <w:r w:rsidR="00D514A7" w:rsidRPr="00560F5D">
        <w:rPr>
          <w:color w:val="000000" w:themeColor="text1"/>
        </w:rPr>
        <w:t xml:space="preserve"> diminished</w:t>
      </w:r>
      <w:r w:rsidR="00B82FB8">
        <w:rPr>
          <w:color w:val="000000" w:themeColor="text1"/>
        </w:rPr>
        <w:t xml:space="preserve"> or </w:t>
      </w:r>
      <w:r w:rsidR="00D514A7" w:rsidRPr="00560F5D">
        <w:rPr>
          <w:color w:val="000000" w:themeColor="text1"/>
        </w:rPr>
        <w:t xml:space="preserve">suppressed </w:t>
      </w:r>
      <w:proofErr w:type="gramStart"/>
      <w:r w:rsidR="00D514A7" w:rsidRPr="00560F5D">
        <w:rPr>
          <w:color w:val="000000" w:themeColor="text1"/>
        </w:rPr>
        <w:t>as a consequence of</w:t>
      </w:r>
      <w:proofErr w:type="gramEnd"/>
      <w:r w:rsidR="00D514A7" w:rsidRPr="00560F5D">
        <w:rPr>
          <w:color w:val="000000" w:themeColor="text1"/>
        </w:rPr>
        <w:t xml:space="preserve"> sharing category-membership with primed items.</w:t>
      </w:r>
    </w:p>
    <w:p w14:paraId="329D798F" w14:textId="77777777" w:rsidR="00DC6265" w:rsidRPr="00560F5D" w:rsidRDefault="00DC6265" w:rsidP="00DC6265">
      <w:pPr>
        <w:spacing w:line="480" w:lineRule="auto"/>
        <w:ind w:firstLine="720"/>
        <w:rPr>
          <w:color w:val="000000" w:themeColor="text1"/>
        </w:rPr>
      </w:pPr>
    </w:p>
    <w:p w14:paraId="73F0ADD3" w14:textId="77777777" w:rsidR="00DC6265" w:rsidRDefault="00DC6265" w:rsidP="00162B56">
      <w:pPr>
        <w:rPr>
          <w:color w:val="000000" w:themeColor="text1"/>
        </w:rPr>
      </w:pPr>
    </w:p>
    <w:p w14:paraId="64AA5CC0" w14:textId="77777777" w:rsidR="00DC6265" w:rsidRDefault="00DC6265" w:rsidP="00162B56">
      <w:pPr>
        <w:rPr>
          <w:color w:val="000000" w:themeColor="text1"/>
        </w:rPr>
      </w:pPr>
    </w:p>
    <w:p w14:paraId="1F9DB713" w14:textId="77777777" w:rsidR="00DC6265" w:rsidRDefault="00DC6265" w:rsidP="00162B56">
      <w:pPr>
        <w:rPr>
          <w:color w:val="000000" w:themeColor="text1"/>
        </w:rPr>
      </w:pPr>
    </w:p>
    <w:p w14:paraId="0CFCC8F2" w14:textId="77777777" w:rsidR="00DC6265" w:rsidRDefault="00DC6265" w:rsidP="00162B56">
      <w:pPr>
        <w:rPr>
          <w:color w:val="000000" w:themeColor="text1"/>
        </w:rPr>
      </w:pPr>
    </w:p>
    <w:p w14:paraId="4A43616A" w14:textId="77777777" w:rsidR="00DC6265" w:rsidRDefault="00DC6265" w:rsidP="00162B56">
      <w:pPr>
        <w:rPr>
          <w:color w:val="000000" w:themeColor="text1"/>
        </w:rPr>
      </w:pPr>
    </w:p>
    <w:p w14:paraId="278E9F22" w14:textId="77777777" w:rsidR="00DC6265" w:rsidRDefault="00DC6265" w:rsidP="00162B56">
      <w:pPr>
        <w:rPr>
          <w:color w:val="000000" w:themeColor="text1"/>
        </w:rPr>
      </w:pPr>
    </w:p>
    <w:p w14:paraId="1123012E" w14:textId="77777777" w:rsidR="00DC6265" w:rsidRDefault="00DC6265" w:rsidP="00162B56">
      <w:pPr>
        <w:rPr>
          <w:color w:val="000000" w:themeColor="text1"/>
        </w:rPr>
      </w:pPr>
    </w:p>
    <w:p w14:paraId="2066445A" w14:textId="77777777" w:rsidR="003A7D11" w:rsidRDefault="003A7D11" w:rsidP="00162B56">
      <w:pPr>
        <w:rPr>
          <w:color w:val="000000" w:themeColor="text1"/>
          <w:sz w:val="20"/>
          <w:szCs w:val="20"/>
        </w:rPr>
      </w:pPr>
    </w:p>
    <w:p w14:paraId="0C0A0912" w14:textId="19E92612" w:rsidR="0044538C" w:rsidRPr="003A7D11" w:rsidRDefault="0044538C" w:rsidP="00162B56">
      <w:pPr>
        <w:rPr>
          <w:color w:val="000000" w:themeColor="text1"/>
        </w:rPr>
      </w:pPr>
      <w:r w:rsidRPr="003A7D11">
        <w:rPr>
          <w:color w:val="000000" w:themeColor="text1"/>
        </w:rPr>
        <w:lastRenderedPageBreak/>
        <w:t xml:space="preserve">Table 2. Mean proportion of category-exemplars produced from control categories as a function of </w:t>
      </w:r>
      <w:r w:rsidR="00F65B99" w:rsidRPr="003A7D11">
        <w:rPr>
          <w:color w:val="000000" w:themeColor="text1"/>
        </w:rPr>
        <w:t>o</w:t>
      </w:r>
      <w:r w:rsidRPr="003A7D11">
        <w:rPr>
          <w:color w:val="000000" w:themeColor="text1"/>
        </w:rPr>
        <w:t>rganisation</w:t>
      </w:r>
      <w:r w:rsidR="00F65B99" w:rsidRPr="003A7D11">
        <w:rPr>
          <w:color w:val="000000" w:themeColor="text1"/>
        </w:rPr>
        <w:t>, s</w:t>
      </w:r>
      <w:r w:rsidRPr="003A7D11">
        <w:rPr>
          <w:color w:val="000000" w:themeColor="text1"/>
        </w:rPr>
        <w:t xml:space="preserve">et and </w:t>
      </w:r>
      <w:r w:rsidR="00F65B99" w:rsidRPr="003A7D11">
        <w:rPr>
          <w:color w:val="000000" w:themeColor="text1"/>
        </w:rPr>
        <w:t>v</w:t>
      </w:r>
      <w:r w:rsidRPr="003A7D11">
        <w:rPr>
          <w:color w:val="000000" w:themeColor="text1"/>
        </w:rPr>
        <w:t>ersion in the experiment. Standard deviations are presented in curved parentheses and standard errors of the mean are presented in square brackets.</w:t>
      </w:r>
    </w:p>
    <w:p w14:paraId="7F30DF87" w14:textId="4A181925" w:rsidR="5DDFB449" w:rsidRPr="003A7D11" w:rsidRDefault="5DDFB449" w:rsidP="00162B56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60F5D" w:rsidRPr="003A7D11" w14:paraId="5A7FC617" w14:textId="77777777" w:rsidTr="00B25B72">
        <w:tc>
          <w:tcPr>
            <w:tcW w:w="1803" w:type="dxa"/>
          </w:tcPr>
          <w:p w14:paraId="07A25433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984E597" w14:textId="5DBF8D7D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1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3" w:type="dxa"/>
          </w:tcPr>
          <w:p w14:paraId="7A68D37A" w14:textId="16B8446B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1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803" w:type="dxa"/>
          </w:tcPr>
          <w:p w14:paraId="2285F8D1" w14:textId="4B4AB492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2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4" w:type="dxa"/>
          </w:tcPr>
          <w:p w14:paraId="08A72965" w14:textId="75BDA13B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Set 2</w:t>
            </w:r>
            <w:r w:rsidR="004D7547" w:rsidRPr="003A7D11">
              <w:rPr>
                <w:color w:val="000000" w:themeColor="text1"/>
                <w:sz w:val="20"/>
                <w:szCs w:val="20"/>
              </w:rPr>
              <w:t xml:space="preserve"> Version </w:t>
            </w:r>
            <w:r w:rsidRPr="003A7D11">
              <w:rPr>
                <w:color w:val="000000" w:themeColor="text1"/>
                <w:sz w:val="20"/>
                <w:szCs w:val="20"/>
              </w:rPr>
              <w:t>B</w:t>
            </w:r>
          </w:p>
        </w:tc>
      </w:tr>
      <w:tr w:rsidR="00560F5D" w:rsidRPr="003A7D11" w14:paraId="4E1D8FF2" w14:textId="77777777" w:rsidTr="00B25B72">
        <w:tc>
          <w:tcPr>
            <w:tcW w:w="1803" w:type="dxa"/>
          </w:tcPr>
          <w:p w14:paraId="5E656D18" w14:textId="77777777" w:rsidR="00B25B72" w:rsidRPr="003A7D11" w:rsidRDefault="00B25B72" w:rsidP="002A3628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Blocked</w:t>
            </w:r>
          </w:p>
          <w:p w14:paraId="609ADC40" w14:textId="55DB9D48" w:rsidR="00DA36CA" w:rsidRPr="003A7D11" w:rsidRDefault="00DA36CA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Presentation</w:t>
            </w:r>
          </w:p>
        </w:tc>
        <w:tc>
          <w:tcPr>
            <w:tcW w:w="1803" w:type="dxa"/>
          </w:tcPr>
          <w:p w14:paraId="7AD3F337" w14:textId="27143259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.128</w:t>
            </w:r>
          </w:p>
          <w:p w14:paraId="1C6DC08F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(.055)</w:t>
            </w:r>
          </w:p>
          <w:p w14:paraId="3000670E" w14:textId="492F59FB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[.010]</w:t>
            </w:r>
          </w:p>
        </w:tc>
        <w:tc>
          <w:tcPr>
            <w:tcW w:w="1803" w:type="dxa"/>
          </w:tcPr>
          <w:p w14:paraId="2070C529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.112</w:t>
            </w:r>
          </w:p>
          <w:p w14:paraId="034F4517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(.047)</w:t>
            </w:r>
          </w:p>
          <w:p w14:paraId="1A7E5BD4" w14:textId="52D9F80F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[.008]</w:t>
            </w:r>
          </w:p>
        </w:tc>
        <w:tc>
          <w:tcPr>
            <w:tcW w:w="1803" w:type="dxa"/>
          </w:tcPr>
          <w:p w14:paraId="454743A2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.137</w:t>
            </w:r>
          </w:p>
          <w:p w14:paraId="6BCACA64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(.045)</w:t>
            </w:r>
          </w:p>
          <w:p w14:paraId="7C95A263" w14:textId="224306CB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[.008]</w:t>
            </w:r>
          </w:p>
        </w:tc>
        <w:tc>
          <w:tcPr>
            <w:tcW w:w="1804" w:type="dxa"/>
          </w:tcPr>
          <w:p w14:paraId="787B8049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.136</w:t>
            </w:r>
          </w:p>
          <w:p w14:paraId="45154AD9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(.046)</w:t>
            </w:r>
          </w:p>
          <w:p w14:paraId="1383B005" w14:textId="653EC0E4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[.008]</w:t>
            </w:r>
          </w:p>
        </w:tc>
      </w:tr>
      <w:tr w:rsidR="00560F5D" w:rsidRPr="003A7D11" w14:paraId="5358B51C" w14:textId="77777777" w:rsidTr="00B25B72">
        <w:tc>
          <w:tcPr>
            <w:tcW w:w="1803" w:type="dxa"/>
          </w:tcPr>
          <w:p w14:paraId="1EB7068B" w14:textId="77777777" w:rsidR="00B25B72" w:rsidRPr="003A7D11" w:rsidRDefault="00B25B72" w:rsidP="002A3628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Random</w:t>
            </w:r>
          </w:p>
          <w:p w14:paraId="4BD4A9B9" w14:textId="42C0DC20" w:rsidR="00DA36CA" w:rsidRPr="003A7D11" w:rsidRDefault="00DA36CA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Presentation</w:t>
            </w:r>
          </w:p>
        </w:tc>
        <w:tc>
          <w:tcPr>
            <w:tcW w:w="1803" w:type="dxa"/>
          </w:tcPr>
          <w:p w14:paraId="27A8222F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.124</w:t>
            </w:r>
          </w:p>
          <w:p w14:paraId="4BD3C5A5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(.040)</w:t>
            </w:r>
          </w:p>
          <w:p w14:paraId="38800DED" w14:textId="4B50FC2E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[.007]</w:t>
            </w:r>
          </w:p>
        </w:tc>
        <w:tc>
          <w:tcPr>
            <w:tcW w:w="1803" w:type="dxa"/>
          </w:tcPr>
          <w:p w14:paraId="13E38DEA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.108</w:t>
            </w:r>
          </w:p>
          <w:p w14:paraId="57DE9452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(.041)</w:t>
            </w:r>
          </w:p>
          <w:p w14:paraId="23A31045" w14:textId="1E6E9F2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[.007]</w:t>
            </w:r>
          </w:p>
        </w:tc>
        <w:tc>
          <w:tcPr>
            <w:tcW w:w="1803" w:type="dxa"/>
          </w:tcPr>
          <w:p w14:paraId="665F441F" w14:textId="31EDD344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.136</w:t>
            </w:r>
          </w:p>
          <w:p w14:paraId="6FC55950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(.035)</w:t>
            </w:r>
          </w:p>
          <w:p w14:paraId="41B3F25F" w14:textId="0100532B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[.006]</w:t>
            </w:r>
          </w:p>
        </w:tc>
        <w:tc>
          <w:tcPr>
            <w:tcW w:w="1804" w:type="dxa"/>
          </w:tcPr>
          <w:p w14:paraId="154C2EA7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.136</w:t>
            </w:r>
          </w:p>
          <w:p w14:paraId="26A66D26" w14:textId="77777777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(.042)</w:t>
            </w:r>
          </w:p>
          <w:p w14:paraId="2F65EF0B" w14:textId="59B61249" w:rsidR="00B25B72" w:rsidRPr="003A7D11" w:rsidRDefault="00B25B72" w:rsidP="00162B5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3A7D11">
              <w:rPr>
                <w:color w:val="000000" w:themeColor="text1"/>
                <w:sz w:val="20"/>
                <w:szCs w:val="20"/>
              </w:rPr>
              <w:t>[.008]</w:t>
            </w:r>
          </w:p>
        </w:tc>
      </w:tr>
    </w:tbl>
    <w:p w14:paraId="27CFC965" w14:textId="77777777" w:rsidR="00753952" w:rsidRPr="00560F5D" w:rsidRDefault="00753952" w:rsidP="00B25B72">
      <w:pPr>
        <w:spacing w:line="480" w:lineRule="auto"/>
        <w:rPr>
          <w:color w:val="000000" w:themeColor="text1"/>
        </w:rPr>
      </w:pPr>
    </w:p>
    <w:p w14:paraId="5B4CFA3E" w14:textId="06DF58FC" w:rsidR="255748FC" w:rsidRPr="00E927CE" w:rsidRDefault="00B86BB5" w:rsidP="004D7547">
      <w:pPr>
        <w:spacing w:line="4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ab/>
      </w:r>
    </w:p>
    <w:sectPr w:rsidR="255748FC" w:rsidRPr="00E927CE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00C8" w14:textId="77777777" w:rsidR="00C80A1A" w:rsidRDefault="00C80A1A" w:rsidP="001B3849">
      <w:r>
        <w:separator/>
      </w:r>
    </w:p>
  </w:endnote>
  <w:endnote w:type="continuationSeparator" w:id="0">
    <w:p w14:paraId="0447166B" w14:textId="77777777" w:rsidR="00C80A1A" w:rsidRDefault="00C80A1A" w:rsidP="001B3849">
      <w:r>
        <w:continuationSeparator/>
      </w:r>
    </w:p>
  </w:endnote>
  <w:endnote w:type="continuationNotice" w:id="1">
    <w:p w14:paraId="7B218740" w14:textId="77777777" w:rsidR="00C80A1A" w:rsidRDefault="00C80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1C48" w14:textId="77777777" w:rsidR="00C80A1A" w:rsidRDefault="00C80A1A" w:rsidP="001B3849">
      <w:r>
        <w:separator/>
      </w:r>
    </w:p>
  </w:footnote>
  <w:footnote w:type="continuationSeparator" w:id="0">
    <w:p w14:paraId="02FD8F3B" w14:textId="77777777" w:rsidR="00C80A1A" w:rsidRDefault="00C80A1A" w:rsidP="001B3849">
      <w:r>
        <w:continuationSeparator/>
      </w:r>
    </w:p>
  </w:footnote>
  <w:footnote w:type="continuationNotice" w:id="1">
    <w:p w14:paraId="5E75445B" w14:textId="77777777" w:rsidR="00C80A1A" w:rsidRDefault="00C80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4071"/>
      <w:docPartObj>
        <w:docPartGallery w:val="Page Numbers (Top of Page)"/>
        <w:docPartUnique/>
      </w:docPartObj>
    </w:sdtPr>
    <w:sdtContent>
      <w:p w14:paraId="46DF1A11" w14:textId="7BDBCF77" w:rsidR="00581C67" w:rsidRDefault="00581C6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85FE5B" w14:textId="77777777" w:rsidR="00581C67" w:rsidRDefault="00581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FB1B"/>
    <w:multiLevelType w:val="hybridMultilevel"/>
    <w:tmpl w:val="AC3ACC30"/>
    <w:lvl w:ilvl="0" w:tplc="C816895A">
      <w:start w:val="1"/>
      <w:numFmt w:val="decimal"/>
      <w:lvlText w:val="%1."/>
      <w:lvlJc w:val="left"/>
      <w:pPr>
        <w:ind w:left="720" w:hanging="360"/>
      </w:pPr>
    </w:lvl>
    <w:lvl w:ilvl="1" w:tplc="D4C642E2">
      <w:start w:val="1"/>
      <w:numFmt w:val="lowerLetter"/>
      <w:lvlText w:val="%2."/>
      <w:lvlJc w:val="left"/>
      <w:pPr>
        <w:ind w:left="1440" w:hanging="360"/>
      </w:pPr>
    </w:lvl>
    <w:lvl w:ilvl="2" w:tplc="4DC885FA">
      <w:start w:val="1"/>
      <w:numFmt w:val="lowerRoman"/>
      <w:lvlText w:val="%3."/>
      <w:lvlJc w:val="right"/>
      <w:pPr>
        <w:ind w:left="2160" w:hanging="180"/>
      </w:pPr>
    </w:lvl>
    <w:lvl w:ilvl="3" w:tplc="6E924C72">
      <w:start w:val="1"/>
      <w:numFmt w:val="decimal"/>
      <w:lvlText w:val="%4."/>
      <w:lvlJc w:val="left"/>
      <w:pPr>
        <w:ind w:left="2880" w:hanging="360"/>
      </w:pPr>
    </w:lvl>
    <w:lvl w:ilvl="4" w:tplc="2F6C8BEA">
      <w:start w:val="1"/>
      <w:numFmt w:val="lowerLetter"/>
      <w:lvlText w:val="%5."/>
      <w:lvlJc w:val="left"/>
      <w:pPr>
        <w:ind w:left="3600" w:hanging="360"/>
      </w:pPr>
    </w:lvl>
    <w:lvl w:ilvl="5" w:tplc="FE9A1620">
      <w:start w:val="1"/>
      <w:numFmt w:val="lowerRoman"/>
      <w:lvlText w:val="%6."/>
      <w:lvlJc w:val="right"/>
      <w:pPr>
        <w:ind w:left="4320" w:hanging="180"/>
      </w:pPr>
    </w:lvl>
    <w:lvl w:ilvl="6" w:tplc="16B47F2A">
      <w:start w:val="1"/>
      <w:numFmt w:val="decimal"/>
      <w:lvlText w:val="%7."/>
      <w:lvlJc w:val="left"/>
      <w:pPr>
        <w:ind w:left="5040" w:hanging="360"/>
      </w:pPr>
    </w:lvl>
    <w:lvl w:ilvl="7" w:tplc="D42C4D62">
      <w:start w:val="1"/>
      <w:numFmt w:val="lowerLetter"/>
      <w:lvlText w:val="%8."/>
      <w:lvlJc w:val="left"/>
      <w:pPr>
        <w:ind w:left="5760" w:hanging="360"/>
      </w:pPr>
    </w:lvl>
    <w:lvl w:ilvl="8" w:tplc="04E645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C681"/>
    <w:multiLevelType w:val="hybridMultilevel"/>
    <w:tmpl w:val="8356178C"/>
    <w:lvl w:ilvl="0" w:tplc="DD84B0EC">
      <w:start w:val="1"/>
      <w:numFmt w:val="decimal"/>
      <w:lvlText w:val="%1."/>
      <w:lvlJc w:val="left"/>
      <w:pPr>
        <w:ind w:left="720" w:hanging="360"/>
      </w:pPr>
    </w:lvl>
    <w:lvl w:ilvl="1" w:tplc="DF36B7E6">
      <w:start w:val="1"/>
      <w:numFmt w:val="lowerLetter"/>
      <w:lvlText w:val="%2."/>
      <w:lvlJc w:val="left"/>
      <w:pPr>
        <w:ind w:left="1440" w:hanging="360"/>
      </w:pPr>
    </w:lvl>
    <w:lvl w:ilvl="2" w:tplc="8C6C8FD8">
      <w:start w:val="1"/>
      <w:numFmt w:val="lowerRoman"/>
      <w:lvlText w:val="%3."/>
      <w:lvlJc w:val="right"/>
      <w:pPr>
        <w:ind w:left="2160" w:hanging="180"/>
      </w:pPr>
    </w:lvl>
    <w:lvl w:ilvl="3" w:tplc="CB947D78">
      <w:start w:val="1"/>
      <w:numFmt w:val="decimal"/>
      <w:lvlText w:val="%4."/>
      <w:lvlJc w:val="left"/>
      <w:pPr>
        <w:ind w:left="2880" w:hanging="360"/>
      </w:pPr>
    </w:lvl>
    <w:lvl w:ilvl="4" w:tplc="C3C4EE6C">
      <w:start w:val="1"/>
      <w:numFmt w:val="lowerLetter"/>
      <w:lvlText w:val="%5."/>
      <w:lvlJc w:val="left"/>
      <w:pPr>
        <w:ind w:left="3600" w:hanging="360"/>
      </w:pPr>
    </w:lvl>
    <w:lvl w:ilvl="5" w:tplc="58423692">
      <w:start w:val="1"/>
      <w:numFmt w:val="lowerRoman"/>
      <w:lvlText w:val="%6."/>
      <w:lvlJc w:val="right"/>
      <w:pPr>
        <w:ind w:left="4320" w:hanging="180"/>
      </w:pPr>
    </w:lvl>
    <w:lvl w:ilvl="6" w:tplc="D2105FBE">
      <w:start w:val="1"/>
      <w:numFmt w:val="decimal"/>
      <w:lvlText w:val="%7."/>
      <w:lvlJc w:val="left"/>
      <w:pPr>
        <w:ind w:left="5040" w:hanging="360"/>
      </w:pPr>
    </w:lvl>
    <w:lvl w:ilvl="7" w:tplc="611E35E0">
      <w:start w:val="1"/>
      <w:numFmt w:val="lowerLetter"/>
      <w:lvlText w:val="%8."/>
      <w:lvlJc w:val="left"/>
      <w:pPr>
        <w:ind w:left="5760" w:hanging="360"/>
      </w:pPr>
    </w:lvl>
    <w:lvl w:ilvl="8" w:tplc="23420F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0984"/>
    <w:multiLevelType w:val="hybridMultilevel"/>
    <w:tmpl w:val="584EFAA4"/>
    <w:lvl w:ilvl="0" w:tplc="107CB93A">
      <w:start w:val="1"/>
      <w:numFmt w:val="decimal"/>
      <w:lvlText w:val="%1."/>
      <w:lvlJc w:val="left"/>
      <w:pPr>
        <w:ind w:left="720" w:hanging="360"/>
      </w:pPr>
    </w:lvl>
    <w:lvl w:ilvl="1" w:tplc="8BCEE226">
      <w:start w:val="1"/>
      <w:numFmt w:val="lowerLetter"/>
      <w:lvlText w:val="%2."/>
      <w:lvlJc w:val="left"/>
      <w:pPr>
        <w:ind w:left="1440" w:hanging="360"/>
      </w:pPr>
    </w:lvl>
    <w:lvl w:ilvl="2" w:tplc="86B8E51A">
      <w:start w:val="1"/>
      <w:numFmt w:val="lowerRoman"/>
      <w:lvlText w:val="%3."/>
      <w:lvlJc w:val="right"/>
      <w:pPr>
        <w:ind w:left="2160" w:hanging="180"/>
      </w:pPr>
    </w:lvl>
    <w:lvl w:ilvl="3" w:tplc="C67AAC8E">
      <w:start w:val="1"/>
      <w:numFmt w:val="decimal"/>
      <w:lvlText w:val="%4."/>
      <w:lvlJc w:val="left"/>
      <w:pPr>
        <w:ind w:left="2880" w:hanging="360"/>
      </w:pPr>
    </w:lvl>
    <w:lvl w:ilvl="4" w:tplc="2E608722">
      <w:start w:val="1"/>
      <w:numFmt w:val="lowerLetter"/>
      <w:lvlText w:val="%5."/>
      <w:lvlJc w:val="left"/>
      <w:pPr>
        <w:ind w:left="3600" w:hanging="360"/>
      </w:pPr>
    </w:lvl>
    <w:lvl w:ilvl="5" w:tplc="9B966C96">
      <w:start w:val="1"/>
      <w:numFmt w:val="lowerRoman"/>
      <w:lvlText w:val="%6."/>
      <w:lvlJc w:val="right"/>
      <w:pPr>
        <w:ind w:left="4320" w:hanging="180"/>
      </w:pPr>
    </w:lvl>
    <w:lvl w:ilvl="6" w:tplc="3834A9A4">
      <w:start w:val="1"/>
      <w:numFmt w:val="decimal"/>
      <w:lvlText w:val="%7."/>
      <w:lvlJc w:val="left"/>
      <w:pPr>
        <w:ind w:left="5040" w:hanging="360"/>
      </w:pPr>
    </w:lvl>
    <w:lvl w:ilvl="7" w:tplc="6784C018">
      <w:start w:val="1"/>
      <w:numFmt w:val="lowerLetter"/>
      <w:lvlText w:val="%8."/>
      <w:lvlJc w:val="left"/>
      <w:pPr>
        <w:ind w:left="5760" w:hanging="360"/>
      </w:pPr>
    </w:lvl>
    <w:lvl w:ilvl="8" w:tplc="D4EC1B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6377"/>
    <w:multiLevelType w:val="hybridMultilevel"/>
    <w:tmpl w:val="A532DA26"/>
    <w:lvl w:ilvl="0" w:tplc="632C2154">
      <w:start w:val="1"/>
      <w:numFmt w:val="decimal"/>
      <w:lvlText w:val="%1."/>
      <w:lvlJc w:val="left"/>
      <w:pPr>
        <w:ind w:left="720" w:hanging="360"/>
      </w:pPr>
    </w:lvl>
    <w:lvl w:ilvl="1" w:tplc="DF0A1CCA">
      <w:start w:val="1"/>
      <w:numFmt w:val="lowerLetter"/>
      <w:lvlText w:val="%2."/>
      <w:lvlJc w:val="left"/>
      <w:pPr>
        <w:ind w:left="1440" w:hanging="360"/>
      </w:pPr>
    </w:lvl>
    <w:lvl w:ilvl="2" w:tplc="BF1ACC02">
      <w:start w:val="1"/>
      <w:numFmt w:val="lowerRoman"/>
      <w:lvlText w:val="%3."/>
      <w:lvlJc w:val="right"/>
      <w:pPr>
        <w:ind w:left="2160" w:hanging="180"/>
      </w:pPr>
    </w:lvl>
    <w:lvl w:ilvl="3" w:tplc="0D061000">
      <w:start w:val="1"/>
      <w:numFmt w:val="decimal"/>
      <w:lvlText w:val="%4."/>
      <w:lvlJc w:val="left"/>
      <w:pPr>
        <w:ind w:left="2880" w:hanging="360"/>
      </w:pPr>
    </w:lvl>
    <w:lvl w:ilvl="4" w:tplc="0FEC284A">
      <w:start w:val="1"/>
      <w:numFmt w:val="lowerLetter"/>
      <w:lvlText w:val="%5."/>
      <w:lvlJc w:val="left"/>
      <w:pPr>
        <w:ind w:left="3600" w:hanging="360"/>
      </w:pPr>
    </w:lvl>
    <w:lvl w:ilvl="5" w:tplc="2452B992">
      <w:start w:val="1"/>
      <w:numFmt w:val="lowerRoman"/>
      <w:lvlText w:val="%6."/>
      <w:lvlJc w:val="right"/>
      <w:pPr>
        <w:ind w:left="4320" w:hanging="180"/>
      </w:pPr>
    </w:lvl>
    <w:lvl w:ilvl="6" w:tplc="8830157A">
      <w:start w:val="1"/>
      <w:numFmt w:val="decimal"/>
      <w:lvlText w:val="%7."/>
      <w:lvlJc w:val="left"/>
      <w:pPr>
        <w:ind w:left="5040" w:hanging="360"/>
      </w:pPr>
    </w:lvl>
    <w:lvl w:ilvl="7" w:tplc="35A20152">
      <w:start w:val="1"/>
      <w:numFmt w:val="lowerLetter"/>
      <w:lvlText w:val="%8."/>
      <w:lvlJc w:val="left"/>
      <w:pPr>
        <w:ind w:left="5760" w:hanging="360"/>
      </w:pPr>
    </w:lvl>
    <w:lvl w:ilvl="8" w:tplc="E3FE490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7722">
    <w:abstractNumId w:val="0"/>
  </w:num>
  <w:num w:numId="2" w16cid:durableId="1089077500">
    <w:abstractNumId w:val="1"/>
  </w:num>
  <w:num w:numId="3" w16cid:durableId="126288275">
    <w:abstractNumId w:val="3"/>
  </w:num>
  <w:num w:numId="4" w16cid:durableId="100736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EB822"/>
    <w:rsid w:val="00005900"/>
    <w:rsid w:val="000104A4"/>
    <w:rsid w:val="0001486E"/>
    <w:rsid w:val="00015FFA"/>
    <w:rsid w:val="000209A8"/>
    <w:rsid w:val="00021B19"/>
    <w:rsid w:val="000229EE"/>
    <w:rsid w:val="0002381D"/>
    <w:rsid w:val="00030744"/>
    <w:rsid w:val="00031D0F"/>
    <w:rsid w:val="000335F8"/>
    <w:rsid w:val="0004088F"/>
    <w:rsid w:val="0006587B"/>
    <w:rsid w:val="00071615"/>
    <w:rsid w:val="00074B69"/>
    <w:rsid w:val="000757C8"/>
    <w:rsid w:val="00084A4A"/>
    <w:rsid w:val="00087816"/>
    <w:rsid w:val="000A5FEA"/>
    <w:rsid w:val="000B0E0D"/>
    <w:rsid w:val="000B2FAD"/>
    <w:rsid w:val="000B7028"/>
    <w:rsid w:val="000D1CA0"/>
    <w:rsid w:val="000D22BC"/>
    <w:rsid w:val="000D293C"/>
    <w:rsid w:val="000D639A"/>
    <w:rsid w:val="000E1343"/>
    <w:rsid w:val="000E4567"/>
    <w:rsid w:val="000F0899"/>
    <w:rsid w:val="00100855"/>
    <w:rsid w:val="0010107D"/>
    <w:rsid w:val="00103E9B"/>
    <w:rsid w:val="001059FB"/>
    <w:rsid w:val="00105D95"/>
    <w:rsid w:val="00112B5D"/>
    <w:rsid w:val="00113DE6"/>
    <w:rsid w:val="00115085"/>
    <w:rsid w:val="0011509C"/>
    <w:rsid w:val="0012197B"/>
    <w:rsid w:val="00124A6B"/>
    <w:rsid w:val="001361C4"/>
    <w:rsid w:val="00162B56"/>
    <w:rsid w:val="001632CF"/>
    <w:rsid w:val="00166E19"/>
    <w:rsid w:val="00173A6E"/>
    <w:rsid w:val="00176650"/>
    <w:rsid w:val="00187A0C"/>
    <w:rsid w:val="00195F09"/>
    <w:rsid w:val="00199543"/>
    <w:rsid w:val="0019BD59"/>
    <w:rsid w:val="001A4E3F"/>
    <w:rsid w:val="001A75FD"/>
    <w:rsid w:val="001B2613"/>
    <w:rsid w:val="001B3849"/>
    <w:rsid w:val="001B3CCB"/>
    <w:rsid w:val="001C4C41"/>
    <w:rsid w:val="001C65B1"/>
    <w:rsid w:val="001D4E65"/>
    <w:rsid w:val="001D6D40"/>
    <w:rsid w:val="001E3971"/>
    <w:rsid w:val="001E4E04"/>
    <w:rsid w:val="001F1D5C"/>
    <w:rsid w:val="001F3503"/>
    <w:rsid w:val="002022CB"/>
    <w:rsid w:val="0020765D"/>
    <w:rsid w:val="00213A60"/>
    <w:rsid w:val="002150A0"/>
    <w:rsid w:val="002159F1"/>
    <w:rsid w:val="00216D45"/>
    <w:rsid w:val="00221F6A"/>
    <w:rsid w:val="00232967"/>
    <w:rsid w:val="00233C59"/>
    <w:rsid w:val="002451F1"/>
    <w:rsid w:val="00246946"/>
    <w:rsid w:val="002551BB"/>
    <w:rsid w:val="00255E70"/>
    <w:rsid w:val="00264BB4"/>
    <w:rsid w:val="00271A92"/>
    <w:rsid w:val="00273113"/>
    <w:rsid w:val="00276AED"/>
    <w:rsid w:val="002820B8"/>
    <w:rsid w:val="002940FC"/>
    <w:rsid w:val="002971A4"/>
    <w:rsid w:val="002A0F3B"/>
    <w:rsid w:val="002A3628"/>
    <w:rsid w:val="002A43FF"/>
    <w:rsid w:val="002B0C5F"/>
    <w:rsid w:val="002B6D85"/>
    <w:rsid w:val="002C1F4A"/>
    <w:rsid w:val="002C25F4"/>
    <w:rsid w:val="002D5854"/>
    <w:rsid w:val="002E02E8"/>
    <w:rsid w:val="002E2E55"/>
    <w:rsid w:val="002E70DA"/>
    <w:rsid w:val="002F51E7"/>
    <w:rsid w:val="003032C6"/>
    <w:rsid w:val="003129DF"/>
    <w:rsid w:val="0031390B"/>
    <w:rsid w:val="003173D5"/>
    <w:rsid w:val="003223B7"/>
    <w:rsid w:val="00323998"/>
    <w:rsid w:val="00324660"/>
    <w:rsid w:val="00325C35"/>
    <w:rsid w:val="00326D0C"/>
    <w:rsid w:val="003344EE"/>
    <w:rsid w:val="003418AF"/>
    <w:rsid w:val="003521A8"/>
    <w:rsid w:val="003524B7"/>
    <w:rsid w:val="003534A6"/>
    <w:rsid w:val="00363471"/>
    <w:rsid w:val="00364E17"/>
    <w:rsid w:val="00371540"/>
    <w:rsid w:val="003723B1"/>
    <w:rsid w:val="00372DB0"/>
    <w:rsid w:val="00372F09"/>
    <w:rsid w:val="00374350"/>
    <w:rsid w:val="003770ED"/>
    <w:rsid w:val="00378360"/>
    <w:rsid w:val="003844F0"/>
    <w:rsid w:val="0039054A"/>
    <w:rsid w:val="00391FD6"/>
    <w:rsid w:val="00394CA9"/>
    <w:rsid w:val="0039589E"/>
    <w:rsid w:val="003A2C73"/>
    <w:rsid w:val="003A7155"/>
    <w:rsid w:val="003A7D11"/>
    <w:rsid w:val="003B16BB"/>
    <w:rsid w:val="003D3781"/>
    <w:rsid w:val="003D74C8"/>
    <w:rsid w:val="003E4EB7"/>
    <w:rsid w:val="003F0246"/>
    <w:rsid w:val="003F1C70"/>
    <w:rsid w:val="003F5DBB"/>
    <w:rsid w:val="003F7D84"/>
    <w:rsid w:val="00401282"/>
    <w:rsid w:val="00403949"/>
    <w:rsid w:val="00403F52"/>
    <w:rsid w:val="00415BB5"/>
    <w:rsid w:val="00416DC8"/>
    <w:rsid w:val="0041752C"/>
    <w:rsid w:val="00423558"/>
    <w:rsid w:val="00433BB0"/>
    <w:rsid w:val="004391E8"/>
    <w:rsid w:val="00442C58"/>
    <w:rsid w:val="004443AC"/>
    <w:rsid w:val="0044538C"/>
    <w:rsid w:val="00450E2D"/>
    <w:rsid w:val="004537CF"/>
    <w:rsid w:val="004642F5"/>
    <w:rsid w:val="00466766"/>
    <w:rsid w:val="00472695"/>
    <w:rsid w:val="00475529"/>
    <w:rsid w:val="00477862"/>
    <w:rsid w:val="00477CAD"/>
    <w:rsid w:val="004818CC"/>
    <w:rsid w:val="004867FD"/>
    <w:rsid w:val="00487776"/>
    <w:rsid w:val="004878D2"/>
    <w:rsid w:val="004926F5"/>
    <w:rsid w:val="004A6BEF"/>
    <w:rsid w:val="004B16A8"/>
    <w:rsid w:val="004C1C17"/>
    <w:rsid w:val="004C5D02"/>
    <w:rsid w:val="004D07D9"/>
    <w:rsid w:val="004D3024"/>
    <w:rsid w:val="004D52FC"/>
    <w:rsid w:val="004D7547"/>
    <w:rsid w:val="004E52CA"/>
    <w:rsid w:val="004E702F"/>
    <w:rsid w:val="004E7B8B"/>
    <w:rsid w:val="004F0C98"/>
    <w:rsid w:val="004F595E"/>
    <w:rsid w:val="004F5A02"/>
    <w:rsid w:val="004F75C9"/>
    <w:rsid w:val="00501128"/>
    <w:rsid w:val="0050500A"/>
    <w:rsid w:val="00505023"/>
    <w:rsid w:val="0050D28B"/>
    <w:rsid w:val="00520BD7"/>
    <w:rsid w:val="0052452D"/>
    <w:rsid w:val="0052462B"/>
    <w:rsid w:val="00534454"/>
    <w:rsid w:val="00536032"/>
    <w:rsid w:val="00536E82"/>
    <w:rsid w:val="00546A0C"/>
    <w:rsid w:val="00557A33"/>
    <w:rsid w:val="00560F5D"/>
    <w:rsid w:val="00563FE7"/>
    <w:rsid w:val="00567EC9"/>
    <w:rsid w:val="00570285"/>
    <w:rsid w:val="00575571"/>
    <w:rsid w:val="00576CD9"/>
    <w:rsid w:val="00577A51"/>
    <w:rsid w:val="00577B21"/>
    <w:rsid w:val="0057CEE4"/>
    <w:rsid w:val="00580B49"/>
    <w:rsid w:val="00581C67"/>
    <w:rsid w:val="00582633"/>
    <w:rsid w:val="00587E8A"/>
    <w:rsid w:val="00592B14"/>
    <w:rsid w:val="005A3C11"/>
    <w:rsid w:val="005A4E01"/>
    <w:rsid w:val="005A5E1E"/>
    <w:rsid w:val="005B4280"/>
    <w:rsid w:val="005C1032"/>
    <w:rsid w:val="005C7F4D"/>
    <w:rsid w:val="005D03DB"/>
    <w:rsid w:val="005D10D4"/>
    <w:rsid w:val="005D1A77"/>
    <w:rsid w:val="005D61F2"/>
    <w:rsid w:val="005E5BB4"/>
    <w:rsid w:val="005E6CB1"/>
    <w:rsid w:val="005F4B33"/>
    <w:rsid w:val="005F7873"/>
    <w:rsid w:val="00607B15"/>
    <w:rsid w:val="00612102"/>
    <w:rsid w:val="00622724"/>
    <w:rsid w:val="006227F5"/>
    <w:rsid w:val="0063123D"/>
    <w:rsid w:val="00632A25"/>
    <w:rsid w:val="00634B08"/>
    <w:rsid w:val="00645436"/>
    <w:rsid w:val="00646172"/>
    <w:rsid w:val="006469EA"/>
    <w:rsid w:val="0065367A"/>
    <w:rsid w:val="0065A489"/>
    <w:rsid w:val="00660073"/>
    <w:rsid w:val="00662DF7"/>
    <w:rsid w:val="00671AFE"/>
    <w:rsid w:val="00672BA5"/>
    <w:rsid w:val="00676A11"/>
    <w:rsid w:val="006863A7"/>
    <w:rsid w:val="00691D0D"/>
    <w:rsid w:val="006958E2"/>
    <w:rsid w:val="006A2EC4"/>
    <w:rsid w:val="006A37FD"/>
    <w:rsid w:val="006A79EA"/>
    <w:rsid w:val="006B046C"/>
    <w:rsid w:val="006B38A1"/>
    <w:rsid w:val="006B5D4C"/>
    <w:rsid w:val="006B6BD4"/>
    <w:rsid w:val="006B7E0B"/>
    <w:rsid w:val="006C1034"/>
    <w:rsid w:val="006C6CE8"/>
    <w:rsid w:val="006D10FB"/>
    <w:rsid w:val="006D2570"/>
    <w:rsid w:val="006D5971"/>
    <w:rsid w:val="006D5A02"/>
    <w:rsid w:val="006D684A"/>
    <w:rsid w:val="006D6E4A"/>
    <w:rsid w:val="006E274B"/>
    <w:rsid w:val="006E2B4F"/>
    <w:rsid w:val="006E3F63"/>
    <w:rsid w:val="006F08EF"/>
    <w:rsid w:val="007001DD"/>
    <w:rsid w:val="0070092A"/>
    <w:rsid w:val="00703D9A"/>
    <w:rsid w:val="00711FAF"/>
    <w:rsid w:val="007138DA"/>
    <w:rsid w:val="00717460"/>
    <w:rsid w:val="00724714"/>
    <w:rsid w:val="00725BF9"/>
    <w:rsid w:val="00727DDE"/>
    <w:rsid w:val="00731D9E"/>
    <w:rsid w:val="00731DCE"/>
    <w:rsid w:val="00731FCA"/>
    <w:rsid w:val="00734FAA"/>
    <w:rsid w:val="00735A04"/>
    <w:rsid w:val="00745531"/>
    <w:rsid w:val="007465B7"/>
    <w:rsid w:val="00753952"/>
    <w:rsid w:val="00755731"/>
    <w:rsid w:val="00756D0E"/>
    <w:rsid w:val="00760245"/>
    <w:rsid w:val="00760CDA"/>
    <w:rsid w:val="0076136A"/>
    <w:rsid w:val="00770910"/>
    <w:rsid w:val="00770B39"/>
    <w:rsid w:val="00772229"/>
    <w:rsid w:val="00772BF8"/>
    <w:rsid w:val="0077F43C"/>
    <w:rsid w:val="0078064F"/>
    <w:rsid w:val="007827A2"/>
    <w:rsid w:val="007830DC"/>
    <w:rsid w:val="00784BD5"/>
    <w:rsid w:val="007861A9"/>
    <w:rsid w:val="00796B37"/>
    <w:rsid w:val="007A327B"/>
    <w:rsid w:val="007A4D96"/>
    <w:rsid w:val="007B2046"/>
    <w:rsid w:val="007B37D1"/>
    <w:rsid w:val="007B474B"/>
    <w:rsid w:val="007B5627"/>
    <w:rsid w:val="007B78FD"/>
    <w:rsid w:val="007C0529"/>
    <w:rsid w:val="007C084D"/>
    <w:rsid w:val="007C6662"/>
    <w:rsid w:val="007E0778"/>
    <w:rsid w:val="007E5D19"/>
    <w:rsid w:val="007F1861"/>
    <w:rsid w:val="00812A56"/>
    <w:rsid w:val="00813FBB"/>
    <w:rsid w:val="0081423D"/>
    <w:rsid w:val="00817F59"/>
    <w:rsid w:val="00822A68"/>
    <w:rsid w:val="00827D67"/>
    <w:rsid w:val="0082E5C1"/>
    <w:rsid w:val="00831FCB"/>
    <w:rsid w:val="008405AE"/>
    <w:rsid w:val="00842B7A"/>
    <w:rsid w:val="00847723"/>
    <w:rsid w:val="008521E7"/>
    <w:rsid w:val="008546E2"/>
    <w:rsid w:val="008610CB"/>
    <w:rsid w:val="0086272B"/>
    <w:rsid w:val="00862BEF"/>
    <w:rsid w:val="00862F8D"/>
    <w:rsid w:val="0086615D"/>
    <w:rsid w:val="0087585B"/>
    <w:rsid w:val="00875C4C"/>
    <w:rsid w:val="00880277"/>
    <w:rsid w:val="00883DA8"/>
    <w:rsid w:val="0088672A"/>
    <w:rsid w:val="00893726"/>
    <w:rsid w:val="00893E3B"/>
    <w:rsid w:val="008ACE32"/>
    <w:rsid w:val="008B7156"/>
    <w:rsid w:val="008D31AA"/>
    <w:rsid w:val="008D76FE"/>
    <w:rsid w:val="008E1E28"/>
    <w:rsid w:val="008E4B9B"/>
    <w:rsid w:val="008E7527"/>
    <w:rsid w:val="008F5456"/>
    <w:rsid w:val="00901CC8"/>
    <w:rsid w:val="00910884"/>
    <w:rsid w:val="00913079"/>
    <w:rsid w:val="00934256"/>
    <w:rsid w:val="00934E12"/>
    <w:rsid w:val="00940226"/>
    <w:rsid w:val="0094175B"/>
    <w:rsid w:val="009422E9"/>
    <w:rsid w:val="00944AE4"/>
    <w:rsid w:val="0095D2F3"/>
    <w:rsid w:val="009625FA"/>
    <w:rsid w:val="00963D0D"/>
    <w:rsid w:val="009677CB"/>
    <w:rsid w:val="0096CDC5"/>
    <w:rsid w:val="00971007"/>
    <w:rsid w:val="00980FC4"/>
    <w:rsid w:val="00981AE8"/>
    <w:rsid w:val="00981C87"/>
    <w:rsid w:val="009829EA"/>
    <w:rsid w:val="00991DB1"/>
    <w:rsid w:val="00997BA6"/>
    <w:rsid w:val="009A05F3"/>
    <w:rsid w:val="009A368F"/>
    <w:rsid w:val="009A6D69"/>
    <w:rsid w:val="009B104F"/>
    <w:rsid w:val="009B1381"/>
    <w:rsid w:val="009B2746"/>
    <w:rsid w:val="009B5259"/>
    <w:rsid w:val="009D1DF2"/>
    <w:rsid w:val="009D53FB"/>
    <w:rsid w:val="009D656D"/>
    <w:rsid w:val="009D6F91"/>
    <w:rsid w:val="009E536B"/>
    <w:rsid w:val="009F45E5"/>
    <w:rsid w:val="009F524D"/>
    <w:rsid w:val="00A03456"/>
    <w:rsid w:val="00A07AF9"/>
    <w:rsid w:val="00A20B58"/>
    <w:rsid w:val="00A252DC"/>
    <w:rsid w:val="00A26705"/>
    <w:rsid w:val="00A27AA9"/>
    <w:rsid w:val="00A30466"/>
    <w:rsid w:val="00A43BA0"/>
    <w:rsid w:val="00A47062"/>
    <w:rsid w:val="00A558DA"/>
    <w:rsid w:val="00A57BEC"/>
    <w:rsid w:val="00A6003F"/>
    <w:rsid w:val="00A605BD"/>
    <w:rsid w:val="00A62FAE"/>
    <w:rsid w:val="00A65701"/>
    <w:rsid w:val="00A707E3"/>
    <w:rsid w:val="00A83A47"/>
    <w:rsid w:val="00A87213"/>
    <w:rsid w:val="00A873E6"/>
    <w:rsid w:val="00A87541"/>
    <w:rsid w:val="00A95710"/>
    <w:rsid w:val="00AA2362"/>
    <w:rsid w:val="00AA4996"/>
    <w:rsid w:val="00AB23B4"/>
    <w:rsid w:val="00AC03CB"/>
    <w:rsid w:val="00AC52C4"/>
    <w:rsid w:val="00AC5E89"/>
    <w:rsid w:val="00AD06A3"/>
    <w:rsid w:val="00AD51BD"/>
    <w:rsid w:val="00AE32BF"/>
    <w:rsid w:val="00AE7A2F"/>
    <w:rsid w:val="00AE8561"/>
    <w:rsid w:val="00AF0612"/>
    <w:rsid w:val="00AF45DE"/>
    <w:rsid w:val="00AF48F9"/>
    <w:rsid w:val="00B04FDE"/>
    <w:rsid w:val="00B0555F"/>
    <w:rsid w:val="00B10A29"/>
    <w:rsid w:val="00B1224C"/>
    <w:rsid w:val="00B1585B"/>
    <w:rsid w:val="00B163A4"/>
    <w:rsid w:val="00B166AB"/>
    <w:rsid w:val="00B25B72"/>
    <w:rsid w:val="00B31E56"/>
    <w:rsid w:val="00B326C9"/>
    <w:rsid w:val="00B41B1C"/>
    <w:rsid w:val="00B42924"/>
    <w:rsid w:val="00B5258C"/>
    <w:rsid w:val="00B55AA2"/>
    <w:rsid w:val="00B57684"/>
    <w:rsid w:val="00B60706"/>
    <w:rsid w:val="00B63717"/>
    <w:rsid w:val="00B74115"/>
    <w:rsid w:val="00B775D0"/>
    <w:rsid w:val="00B82FB8"/>
    <w:rsid w:val="00B82FF5"/>
    <w:rsid w:val="00B8578E"/>
    <w:rsid w:val="00B85F72"/>
    <w:rsid w:val="00B86BB5"/>
    <w:rsid w:val="00B92FF0"/>
    <w:rsid w:val="00B96DBA"/>
    <w:rsid w:val="00BA765F"/>
    <w:rsid w:val="00BB52F1"/>
    <w:rsid w:val="00BB5402"/>
    <w:rsid w:val="00BB635F"/>
    <w:rsid w:val="00BB6F09"/>
    <w:rsid w:val="00BB7E42"/>
    <w:rsid w:val="00BBE317"/>
    <w:rsid w:val="00BC1BF3"/>
    <w:rsid w:val="00BC4E22"/>
    <w:rsid w:val="00BD556F"/>
    <w:rsid w:val="00BDBB46"/>
    <w:rsid w:val="00BE0A45"/>
    <w:rsid w:val="00BE1A15"/>
    <w:rsid w:val="00BE3DF8"/>
    <w:rsid w:val="00BE56AD"/>
    <w:rsid w:val="00BF1A30"/>
    <w:rsid w:val="00BF746E"/>
    <w:rsid w:val="00C017DF"/>
    <w:rsid w:val="00C06D95"/>
    <w:rsid w:val="00C06DE6"/>
    <w:rsid w:val="00C07953"/>
    <w:rsid w:val="00C10842"/>
    <w:rsid w:val="00C1520B"/>
    <w:rsid w:val="00C1526E"/>
    <w:rsid w:val="00C21210"/>
    <w:rsid w:val="00C22490"/>
    <w:rsid w:val="00C27815"/>
    <w:rsid w:val="00C376D0"/>
    <w:rsid w:val="00C416F7"/>
    <w:rsid w:val="00C42101"/>
    <w:rsid w:val="00C425F7"/>
    <w:rsid w:val="00C447E2"/>
    <w:rsid w:val="00C50257"/>
    <w:rsid w:val="00C5198C"/>
    <w:rsid w:val="00C60FB5"/>
    <w:rsid w:val="00C65168"/>
    <w:rsid w:val="00C65175"/>
    <w:rsid w:val="00C7078F"/>
    <w:rsid w:val="00C7160B"/>
    <w:rsid w:val="00C729B5"/>
    <w:rsid w:val="00C743D6"/>
    <w:rsid w:val="00C80A1A"/>
    <w:rsid w:val="00C81718"/>
    <w:rsid w:val="00C82228"/>
    <w:rsid w:val="00C82942"/>
    <w:rsid w:val="00C86640"/>
    <w:rsid w:val="00C86C31"/>
    <w:rsid w:val="00C907C9"/>
    <w:rsid w:val="00C92BD4"/>
    <w:rsid w:val="00C94291"/>
    <w:rsid w:val="00C97E0D"/>
    <w:rsid w:val="00CA35E6"/>
    <w:rsid w:val="00CA6FF1"/>
    <w:rsid w:val="00CB78A2"/>
    <w:rsid w:val="00CC24DC"/>
    <w:rsid w:val="00CD1630"/>
    <w:rsid w:val="00CD27B0"/>
    <w:rsid w:val="00CE3963"/>
    <w:rsid w:val="00CE4D97"/>
    <w:rsid w:val="00CE75EA"/>
    <w:rsid w:val="00CF0788"/>
    <w:rsid w:val="00CF128C"/>
    <w:rsid w:val="00CF4BC1"/>
    <w:rsid w:val="00D013D0"/>
    <w:rsid w:val="00D050A0"/>
    <w:rsid w:val="00D11BC6"/>
    <w:rsid w:val="00D123D7"/>
    <w:rsid w:val="00D13910"/>
    <w:rsid w:val="00D217E5"/>
    <w:rsid w:val="00D23588"/>
    <w:rsid w:val="00D2422C"/>
    <w:rsid w:val="00D34C43"/>
    <w:rsid w:val="00D36BB4"/>
    <w:rsid w:val="00D3702F"/>
    <w:rsid w:val="00D420C4"/>
    <w:rsid w:val="00D4239D"/>
    <w:rsid w:val="00D46BE4"/>
    <w:rsid w:val="00D514A7"/>
    <w:rsid w:val="00D52261"/>
    <w:rsid w:val="00D65D4B"/>
    <w:rsid w:val="00D66B98"/>
    <w:rsid w:val="00D66C34"/>
    <w:rsid w:val="00D67D4D"/>
    <w:rsid w:val="00D72056"/>
    <w:rsid w:val="00D76C6F"/>
    <w:rsid w:val="00D86AB9"/>
    <w:rsid w:val="00DA36CA"/>
    <w:rsid w:val="00DA443E"/>
    <w:rsid w:val="00DA4D31"/>
    <w:rsid w:val="00DB2511"/>
    <w:rsid w:val="00DB331D"/>
    <w:rsid w:val="00DB49B8"/>
    <w:rsid w:val="00DB4B70"/>
    <w:rsid w:val="00DC6265"/>
    <w:rsid w:val="00DD38ED"/>
    <w:rsid w:val="00DE2E1A"/>
    <w:rsid w:val="00DE4EEE"/>
    <w:rsid w:val="00DE686C"/>
    <w:rsid w:val="00DEF97C"/>
    <w:rsid w:val="00DF0F2A"/>
    <w:rsid w:val="00E0474F"/>
    <w:rsid w:val="00E054D6"/>
    <w:rsid w:val="00E07953"/>
    <w:rsid w:val="00E0DAA8"/>
    <w:rsid w:val="00E244BF"/>
    <w:rsid w:val="00E24F95"/>
    <w:rsid w:val="00E26A79"/>
    <w:rsid w:val="00E318D1"/>
    <w:rsid w:val="00E35060"/>
    <w:rsid w:val="00E36C85"/>
    <w:rsid w:val="00E41FC8"/>
    <w:rsid w:val="00E53006"/>
    <w:rsid w:val="00E540BB"/>
    <w:rsid w:val="00E578F4"/>
    <w:rsid w:val="00E60683"/>
    <w:rsid w:val="00E61391"/>
    <w:rsid w:val="00E61B87"/>
    <w:rsid w:val="00E62CF7"/>
    <w:rsid w:val="00E65BB9"/>
    <w:rsid w:val="00E6667F"/>
    <w:rsid w:val="00E8401C"/>
    <w:rsid w:val="00E864B9"/>
    <w:rsid w:val="00E86B4A"/>
    <w:rsid w:val="00E8731D"/>
    <w:rsid w:val="00E90A41"/>
    <w:rsid w:val="00E927CE"/>
    <w:rsid w:val="00E94425"/>
    <w:rsid w:val="00E94880"/>
    <w:rsid w:val="00EA21D2"/>
    <w:rsid w:val="00EA34DA"/>
    <w:rsid w:val="00EB30FB"/>
    <w:rsid w:val="00EB4B4E"/>
    <w:rsid w:val="00EB78A8"/>
    <w:rsid w:val="00EC0586"/>
    <w:rsid w:val="00EC1BBF"/>
    <w:rsid w:val="00ED42CB"/>
    <w:rsid w:val="00ED52F5"/>
    <w:rsid w:val="00EE3A3F"/>
    <w:rsid w:val="00EF3876"/>
    <w:rsid w:val="00EF644F"/>
    <w:rsid w:val="00F042DD"/>
    <w:rsid w:val="00F06F85"/>
    <w:rsid w:val="00F07B02"/>
    <w:rsid w:val="00F10A95"/>
    <w:rsid w:val="00F1153C"/>
    <w:rsid w:val="00F13BE9"/>
    <w:rsid w:val="00F27230"/>
    <w:rsid w:val="00F31422"/>
    <w:rsid w:val="00F414AD"/>
    <w:rsid w:val="00F47738"/>
    <w:rsid w:val="00F537ED"/>
    <w:rsid w:val="00F54E80"/>
    <w:rsid w:val="00F5627A"/>
    <w:rsid w:val="00F5696A"/>
    <w:rsid w:val="00F6235E"/>
    <w:rsid w:val="00F65B99"/>
    <w:rsid w:val="00F76CF6"/>
    <w:rsid w:val="00F821DC"/>
    <w:rsid w:val="00F85552"/>
    <w:rsid w:val="00F92407"/>
    <w:rsid w:val="00F95B9A"/>
    <w:rsid w:val="00FB2834"/>
    <w:rsid w:val="00FC5480"/>
    <w:rsid w:val="00FC63EB"/>
    <w:rsid w:val="00FE06E7"/>
    <w:rsid w:val="00FE11D9"/>
    <w:rsid w:val="00FE19B6"/>
    <w:rsid w:val="00FE48AC"/>
    <w:rsid w:val="00FE63EE"/>
    <w:rsid w:val="00FF2C10"/>
    <w:rsid w:val="00FF76D8"/>
    <w:rsid w:val="010A3854"/>
    <w:rsid w:val="0110A3F7"/>
    <w:rsid w:val="01148280"/>
    <w:rsid w:val="0117CEE2"/>
    <w:rsid w:val="01232DA2"/>
    <w:rsid w:val="012B724B"/>
    <w:rsid w:val="012B868D"/>
    <w:rsid w:val="01346A1D"/>
    <w:rsid w:val="014C9107"/>
    <w:rsid w:val="0158B98B"/>
    <w:rsid w:val="015900FC"/>
    <w:rsid w:val="01617A3A"/>
    <w:rsid w:val="01628EB0"/>
    <w:rsid w:val="016BA9BB"/>
    <w:rsid w:val="017538E0"/>
    <w:rsid w:val="0178406B"/>
    <w:rsid w:val="0190BF9E"/>
    <w:rsid w:val="01D353C1"/>
    <w:rsid w:val="01D48FA7"/>
    <w:rsid w:val="01D75667"/>
    <w:rsid w:val="01DDE330"/>
    <w:rsid w:val="02061074"/>
    <w:rsid w:val="021B9130"/>
    <w:rsid w:val="0223F2D3"/>
    <w:rsid w:val="024E9F87"/>
    <w:rsid w:val="02523382"/>
    <w:rsid w:val="0257B378"/>
    <w:rsid w:val="02667804"/>
    <w:rsid w:val="028040AD"/>
    <w:rsid w:val="02965D3E"/>
    <w:rsid w:val="029DDC78"/>
    <w:rsid w:val="029E2380"/>
    <w:rsid w:val="02C11E84"/>
    <w:rsid w:val="02DC0190"/>
    <w:rsid w:val="02DEC632"/>
    <w:rsid w:val="02E5CC2D"/>
    <w:rsid w:val="02E86168"/>
    <w:rsid w:val="02EBA993"/>
    <w:rsid w:val="02F3AA55"/>
    <w:rsid w:val="02F457A5"/>
    <w:rsid w:val="02F4D15D"/>
    <w:rsid w:val="02F60513"/>
    <w:rsid w:val="03091BBB"/>
    <w:rsid w:val="0309F9FE"/>
    <w:rsid w:val="0317A9AD"/>
    <w:rsid w:val="032C8FFF"/>
    <w:rsid w:val="032E29D9"/>
    <w:rsid w:val="0357D2A9"/>
    <w:rsid w:val="035C95EE"/>
    <w:rsid w:val="0373F0E3"/>
    <w:rsid w:val="037D9AB1"/>
    <w:rsid w:val="03805153"/>
    <w:rsid w:val="038AF624"/>
    <w:rsid w:val="038F6FA6"/>
    <w:rsid w:val="039B992F"/>
    <w:rsid w:val="03A3CF02"/>
    <w:rsid w:val="03A422E1"/>
    <w:rsid w:val="03AE9AC2"/>
    <w:rsid w:val="03B5FB68"/>
    <w:rsid w:val="03B78D24"/>
    <w:rsid w:val="03C51DC3"/>
    <w:rsid w:val="03C71942"/>
    <w:rsid w:val="03D2BBC7"/>
    <w:rsid w:val="03D9170C"/>
    <w:rsid w:val="03E3B651"/>
    <w:rsid w:val="03EB8E32"/>
    <w:rsid w:val="03F83947"/>
    <w:rsid w:val="0412DD63"/>
    <w:rsid w:val="041BA052"/>
    <w:rsid w:val="0437BF39"/>
    <w:rsid w:val="044F1E07"/>
    <w:rsid w:val="0454D820"/>
    <w:rsid w:val="045A0CF9"/>
    <w:rsid w:val="045ED7B5"/>
    <w:rsid w:val="046ED1DC"/>
    <w:rsid w:val="047633C5"/>
    <w:rsid w:val="047C0095"/>
    <w:rsid w:val="048431C9"/>
    <w:rsid w:val="0489D523"/>
    <w:rsid w:val="048C7083"/>
    <w:rsid w:val="04905CEE"/>
    <w:rsid w:val="04910C70"/>
    <w:rsid w:val="0496BAD7"/>
    <w:rsid w:val="04985AF4"/>
    <w:rsid w:val="04988C33"/>
    <w:rsid w:val="04A7D667"/>
    <w:rsid w:val="04BCD06A"/>
    <w:rsid w:val="04CB0670"/>
    <w:rsid w:val="04D09088"/>
    <w:rsid w:val="04D4F575"/>
    <w:rsid w:val="04DCC88A"/>
    <w:rsid w:val="04E29C8E"/>
    <w:rsid w:val="0507A17E"/>
    <w:rsid w:val="05349772"/>
    <w:rsid w:val="0548FF2C"/>
    <w:rsid w:val="055B9395"/>
    <w:rsid w:val="055ED054"/>
    <w:rsid w:val="056386FA"/>
    <w:rsid w:val="0564156F"/>
    <w:rsid w:val="056B715B"/>
    <w:rsid w:val="056F4729"/>
    <w:rsid w:val="05723EA1"/>
    <w:rsid w:val="057BF73A"/>
    <w:rsid w:val="057D7BE5"/>
    <w:rsid w:val="0588DD78"/>
    <w:rsid w:val="0591F0FF"/>
    <w:rsid w:val="05946187"/>
    <w:rsid w:val="05AA9FF7"/>
    <w:rsid w:val="05AAE400"/>
    <w:rsid w:val="05AF973E"/>
    <w:rsid w:val="05B61C85"/>
    <w:rsid w:val="05B897E7"/>
    <w:rsid w:val="05BCC46D"/>
    <w:rsid w:val="05C0F290"/>
    <w:rsid w:val="05CEF45F"/>
    <w:rsid w:val="05D0624C"/>
    <w:rsid w:val="05D67638"/>
    <w:rsid w:val="05DA66A0"/>
    <w:rsid w:val="05E34039"/>
    <w:rsid w:val="05EAA59E"/>
    <w:rsid w:val="05F0C55F"/>
    <w:rsid w:val="05F2716C"/>
    <w:rsid w:val="05F5DD5A"/>
    <w:rsid w:val="05FF202B"/>
    <w:rsid w:val="060A16A0"/>
    <w:rsid w:val="0611F215"/>
    <w:rsid w:val="062C31FB"/>
    <w:rsid w:val="06520248"/>
    <w:rsid w:val="066A86BA"/>
    <w:rsid w:val="06A0AC2A"/>
    <w:rsid w:val="06A9E570"/>
    <w:rsid w:val="06B5D591"/>
    <w:rsid w:val="06B7E407"/>
    <w:rsid w:val="06C5C855"/>
    <w:rsid w:val="06D84B3F"/>
    <w:rsid w:val="06D9A1E4"/>
    <w:rsid w:val="06F763F6"/>
    <w:rsid w:val="06FD9C86"/>
    <w:rsid w:val="07008103"/>
    <w:rsid w:val="070B0DBD"/>
    <w:rsid w:val="07120362"/>
    <w:rsid w:val="0719B3E5"/>
    <w:rsid w:val="071DF166"/>
    <w:rsid w:val="071EEED7"/>
    <w:rsid w:val="072C7B39"/>
    <w:rsid w:val="073F7481"/>
    <w:rsid w:val="07451632"/>
    <w:rsid w:val="074C2870"/>
    <w:rsid w:val="07606F73"/>
    <w:rsid w:val="07792757"/>
    <w:rsid w:val="078254F7"/>
    <w:rsid w:val="0793396F"/>
    <w:rsid w:val="07988265"/>
    <w:rsid w:val="07ACD677"/>
    <w:rsid w:val="07AD7066"/>
    <w:rsid w:val="07ADC276"/>
    <w:rsid w:val="07ADD487"/>
    <w:rsid w:val="07AECC9D"/>
    <w:rsid w:val="07B4C3FD"/>
    <w:rsid w:val="07B69CA7"/>
    <w:rsid w:val="07BF44FA"/>
    <w:rsid w:val="07CCC2F6"/>
    <w:rsid w:val="07D1B442"/>
    <w:rsid w:val="07DC6068"/>
    <w:rsid w:val="07E205E1"/>
    <w:rsid w:val="07F0C0E4"/>
    <w:rsid w:val="07F6AF55"/>
    <w:rsid w:val="07FF34C9"/>
    <w:rsid w:val="07FF42E4"/>
    <w:rsid w:val="0805AC03"/>
    <w:rsid w:val="08097D7D"/>
    <w:rsid w:val="081608CA"/>
    <w:rsid w:val="081A4B0C"/>
    <w:rsid w:val="08268102"/>
    <w:rsid w:val="0829FAFD"/>
    <w:rsid w:val="082C8D74"/>
    <w:rsid w:val="083003F4"/>
    <w:rsid w:val="08300711"/>
    <w:rsid w:val="0846FAE7"/>
    <w:rsid w:val="0857D8B4"/>
    <w:rsid w:val="0862E0C9"/>
    <w:rsid w:val="08660B08"/>
    <w:rsid w:val="087205AB"/>
    <w:rsid w:val="08822794"/>
    <w:rsid w:val="088B165A"/>
    <w:rsid w:val="089CC00C"/>
    <w:rsid w:val="08A2824E"/>
    <w:rsid w:val="08A98598"/>
    <w:rsid w:val="08B72774"/>
    <w:rsid w:val="08BEFF55"/>
    <w:rsid w:val="08C0FB6E"/>
    <w:rsid w:val="08D39146"/>
    <w:rsid w:val="08EA4D0C"/>
    <w:rsid w:val="08EF6892"/>
    <w:rsid w:val="08F22CFD"/>
    <w:rsid w:val="08F6CAA7"/>
    <w:rsid w:val="08FC11C6"/>
    <w:rsid w:val="09014C00"/>
    <w:rsid w:val="090472DC"/>
    <w:rsid w:val="091453F0"/>
    <w:rsid w:val="09197257"/>
    <w:rsid w:val="091BB5DC"/>
    <w:rsid w:val="09307C8B"/>
    <w:rsid w:val="0932AD79"/>
    <w:rsid w:val="093FA7F0"/>
    <w:rsid w:val="09401684"/>
    <w:rsid w:val="0941B762"/>
    <w:rsid w:val="0948A6D8"/>
    <w:rsid w:val="094EB636"/>
    <w:rsid w:val="09540F77"/>
    <w:rsid w:val="0959CDFB"/>
    <w:rsid w:val="097DAC0C"/>
    <w:rsid w:val="098A9230"/>
    <w:rsid w:val="0994CB3A"/>
    <w:rsid w:val="09A613A3"/>
    <w:rsid w:val="09A969EA"/>
    <w:rsid w:val="09AF4DD4"/>
    <w:rsid w:val="09B42701"/>
    <w:rsid w:val="09BAB362"/>
    <w:rsid w:val="09C18EF5"/>
    <w:rsid w:val="09F4678E"/>
    <w:rsid w:val="09FE4F94"/>
    <w:rsid w:val="0A0C6C59"/>
    <w:rsid w:val="0A47FF0C"/>
    <w:rsid w:val="0A5154A7"/>
    <w:rsid w:val="0A709472"/>
    <w:rsid w:val="0A7CB6F4"/>
    <w:rsid w:val="0A7E9FF2"/>
    <w:rsid w:val="0A830861"/>
    <w:rsid w:val="0A8D6072"/>
    <w:rsid w:val="0A8E609A"/>
    <w:rsid w:val="0A9D1C61"/>
    <w:rsid w:val="0AC94E7D"/>
    <w:rsid w:val="0AD9E630"/>
    <w:rsid w:val="0ADB5EC1"/>
    <w:rsid w:val="0AE0309A"/>
    <w:rsid w:val="0AE27559"/>
    <w:rsid w:val="0AE9D817"/>
    <w:rsid w:val="0AE9E5D1"/>
    <w:rsid w:val="0AEEC0E0"/>
    <w:rsid w:val="0B1BCDC7"/>
    <w:rsid w:val="0B266291"/>
    <w:rsid w:val="0B2E5017"/>
    <w:rsid w:val="0B4D2233"/>
    <w:rsid w:val="0B566681"/>
    <w:rsid w:val="0B5D5F56"/>
    <w:rsid w:val="0B5D83C6"/>
    <w:rsid w:val="0B651050"/>
    <w:rsid w:val="0B67D55B"/>
    <w:rsid w:val="0B7E9BA9"/>
    <w:rsid w:val="0B8372ED"/>
    <w:rsid w:val="0B96A4DC"/>
    <w:rsid w:val="0B9A818B"/>
    <w:rsid w:val="0BB68FBA"/>
    <w:rsid w:val="0BB773EA"/>
    <w:rsid w:val="0BBAA879"/>
    <w:rsid w:val="0BC3441C"/>
    <w:rsid w:val="0BC3B304"/>
    <w:rsid w:val="0BC3F22C"/>
    <w:rsid w:val="0BC73126"/>
    <w:rsid w:val="0BCAD519"/>
    <w:rsid w:val="0BED2697"/>
    <w:rsid w:val="0BF64C21"/>
    <w:rsid w:val="0BFA16A5"/>
    <w:rsid w:val="0C05B065"/>
    <w:rsid w:val="0C1F39BC"/>
    <w:rsid w:val="0C2C05F1"/>
    <w:rsid w:val="0C2C91AC"/>
    <w:rsid w:val="0C6BD695"/>
    <w:rsid w:val="0C7E45BA"/>
    <w:rsid w:val="0C80479A"/>
    <w:rsid w:val="0C92D88B"/>
    <w:rsid w:val="0C9C0CBC"/>
    <w:rsid w:val="0C9FC959"/>
    <w:rsid w:val="0CAA9D2B"/>
    <w:rsid w:val="0CBF5DC6"/>
    <w:rsid w:val="0CC36448"/>
    <w:rsid w:val="0CC7E24F"/>
    <w:rsid w:val="0CD3FAEF"/>
    <w:rsid w:val="0CDA0296"/>
    <w:rsid w:val="0CDD39F2"/>
    <w:rsid w:val="0CE0075A"/>
    <w:rsid w:val="0CF92FB7"/>
    <w:rsid w:val="0D066093"/>
    <w:rsid w:val="0D0EDF7B"/>
    <w:rsid w:val="0D122EA1"/>
    <w:rsid w:val="0D1D8B6B"/>
    <w:rsid w:val="0D25A9F0"/>
    <w:rsid w:val="0D2E25C7"/>
    <w:rsid w:val="0D557082"/>
    <w:rsid w:val="0D64D359"/>
    <w:rsid w:val="0D6AE1F6"/>
    <w:rsid w:val="0D6DFB88"/>
    <w:rsid w:val="0D7FE985"/>
    <w:rsid w:val="0D80AD72"/>
    <w:rsid w:val="0D8A9897"/>
    <w:rsid w:val="0D927078"/>
    <w:rsid w:val="0DBAA923"/>
    <w:rsid w:val="0DC0657E"/>
    <w:rsid w:val="0DC2DA2E"/>
    <w:rsid w:val="0DD7BB17"/>
    <w:rsid w:val="0DD93362"/>
    <w:rsid w:val="0DDEA205"/>
    <w:rsid w:val="0DF3B4B0"/>
    <w:rsid w:val="0DFA5EC3"/>
    <w:rsid w:val="0E1429FA"/>
    <w:rsid w:val="0E1A161B"/>
    <w:rsid w:val="0E521A49"/>
    <w:rsid w:val="0E5EF913"/>
    <w:rsid w:val="0E623B07"/>
    <w:rsid w:val="0E65D948"/>
    <w:rsid w:val="0E6F15DE"/>
    <w:rsid w:val="0E7201C0"/>
    <w:rsid w:val="0E738C3B"/>
    <w:rsid w:val="0E7C9F2E"/>
    <w:rsid w:val="0E8858F5"/>
    <w:rsid w:val="0E9CB112"/>
    <w:rsid w:val="0EA15C17"/>
    <w:rsid w:val="0EAC81BE"/>
    <w:rsid w:val="0EB04C42"/>
    <w:rsid w:val="0EC9F628"/>
    <w:rsid w:val="0ECFB625"/>
    <w:rsid w:val="0ED2224D"/>
    <w:rsid w:val="0EE2AA15"/>
    <w:rsid w:val="0EF38342"/>
    <w:rsid w:val="0F0155FC"/>
    <w:rsid w:val="0F0C0190"/>
    <w:rsid w:val="0F0FDAEE"/>
    <w:rsid w:val="0F175AF2"/>
    <w:rsid w:val="0F215F0C"/>
    <w:rsid w:val="0F30A89C"/>
    <w:rsid w:val="0F30E393"/>
    <w:rsid w:val="0F310BC5"/>
    <w:rsid w:val="0F440595"/>
    <w:rsid w:val="0F662A69"/>
    <w:rsid w:val="0F81BBAB"/>
    <w:rsid w:val="0F897769"/>
    <w:rsid w:val="0F936F8F"/>
    <w:rsid w:val="0F95954C"/>
    <w:rsid w:val="0F9CBFA0"/>
    <w:rsid w:val="0FA1C7AB"/>
    <w:rsid w:val="0FB6C021"/>
    <w:rsid w:val="0FC13824"/>
    <w:rsid w:val="0FC1CC3D"/>
    <w:rsid w:val="0FD2472D"/>
    <w:rsid w:val="0FDD506B"/>
    <w:rsid w:val="0FE44990"/>
    <w:rsid w:val="0FEF8C49"/>
    <w:rsid w:val="0FF70558"/>
    <w:rsid w:val="0FFA815A"/>
    <w:rsid w:val="10075ECC"/>
    <w:rsid w:val="10080A81"/>
    <w:rsid w:val="100F5C9C"/>
    <w:rsid w:val="1018AB6E"/>
    <w:rsid w:val="101B08F6"/>
    <w:rsid w:val="1027D9BE"/>
    <w:rsid w:val="102BDCEA"/>
    <w:rsid w:val="10392B63"/>
    <w:rsid w:val="105C5641"/>
    <w:rsid w:val="1066C25D"/>
    <w:rsid w:val="106F6CB0"/>
    <w:rsid w:val="10774A19"/>
    <w:rsid w:val="107E7A76"/>
    <w:rsid w:val="1089A9FE"/>
    <w:rsid w:val="108A5B75"/>
    <w:rsid w:val="109836E5"/>
    <w:rsid w:val="10A7D1F1"/>
    <w:rsid w:val="10B20337"/>
    <w:rsid w:val="10BC4C1A"/>
    <w:rsid w:val="10C07568"/>
    <w:rsid w:val="10D58F8C"/>
    <w:rsid w:val="10D6DB37"/>
    <w:rsid w:val="10D99DC5"/>
    <w:rsid w:val="10E0CEC2"/>
    <w:rsid w:val="10EB99F0"/>
    <w:rsid w:val="10F1606B"/>
    <w:rsid w:val="10F2AADF"/>
    <w:rsid w:val="10FB3209"/>
    <w:rsid w:val="110C5DE5"/>
    <w:rsid w:val="111C00CA"/>
    <w:rsid w:val="111E38B4"/>
    <w:rsid w:val="112C9799"/>
    <w:rsid w:val="113B51A3"/>
    <w:rsid w:val="113FB603"/>
    <w:rsid w:val="1148EF20"/>
    <w:rsid w:val="114A7780"/>
    <w:rsid w:val="1151CE9A"/>
    <w:rsid w:val="115D708F"/>
    <w:rsid w:val="116ADF3A"/>
    <w:rsid w:val="1180A000"/>
    <w:rsid w:val="1189B1BF"/>
    <w:rsid w:val="11A659C0"/>
    <w:rsid w:val="11AB2CFD"/>
    <w:rsid w:val="11B47BCF"/>
    <w:rsid w:val="11B76114"/>
    <w:rsid w:val="11B99E49"/>
    <w:rsid w:val="11BA5FB9"/>
    <w:rsid w:val="11D1FFCE"/>
    <w:rsid w:val="11D451D4"/>
    <w:rsid w:val="11F16511"/>
    <w:rsid w:val="120A0B99"/>
    <w:rsid w:val="1214DAD4"/>
    <w:rsid w:val="121E0A4E"/>
    <w:rsid w:val="121F5715"/>
    <w:rsid w:val="1222EB6C"/>
    <w:rsid w:val="122394C3"/>
    <w:rsid w:val="122A79F5"/>
    <w:rsid w:val="1238FB3A"/>
    <w:rsid w:val="12424795"/>
    <w:rsid w:val="1245B471"/>
    <w:rsid w:val="1248F9F1"/>
    <w:rsid w:val="124D8DB1"/>
    <w:rsid w:val="124FB4A4"/>
    <w:rsid w:val="125E09BA"/>
    <w:rsid w:val="1263EB41"/>
    <w:rsid w:val="1265E19B"/>
    <w:rsid w:val="126EAB9A"/>
    <w:rsid w:val="1274F1E9"/>
    <w:rsid w:val="1276A335"/>
    <w:rsid w:val="127CF44B"/>
    <w:rsid w:val="12821F18"/>
    <w:rsid w:val="1282F1FB"/>
    <w:rsid w:val="1287C8D9"/>
    <w:rsid w:val="128B158F"/>
    <w:rsid w:val="128E45BA"/>
    <w:rsid w:val="12904859"/>
    <w:rsid w:val="129BD330"/>
    <w:rsid w:val="12A7ED49"/>
    <w:rsid w:val="12A82E46"/>
    <w:rsid w:val="12C29822"/>
    <w:rsid w:val="12C2DFA4"/>
    <w:rsid w:val="12C66911"/>
    <w:rsid w:val="12DD2C35"/>
    <w:rsid w:val="12ED873E"/>
    <w:rsid w:val="12F204F6"/>
    <w:rsid w:val="12F2FEB4"/>
    <w:rsid w:val="12FE8532"/>
    <w:rsid w:val="130D3CAF"/>
    <w:rsid w:val="130EC5DC"/>
    <w:rsid w:val="1311338F"/>
    <w:rsid w:val="1312E2AD"/>
    <w:rsid w:val="1318B9FA"/>
    <w:rsid w:val="131E58F2"/>
    <w:rsid w:val="1332221C"/>
    <w:rsid w:val="133D07BD"/>
    <w:rsid w:val="133E7490"/>
    <w:rsid w:val="1346FD5E"/>
    <w:rsid w:val="1347379B"/>
    <w:rsid w:val="1353253D"/>
    <w:rsid w:val="13533B8E"/>
    <w:rsid w:val="13570DAF"/>
    <w:rsid w:val="13695C70"/>
    <w:rsid w:val="136C95D7"/>
    <w:rsid w:val="13836D76"/>
    <w:rsid w:val="1389AD8E"/>
    <w:rsid w:val="139403B3"/>
    <w:rsid w:val="13A6FC70"/>
    <w:rsid w:val="13B0AB35"/>
    <w:rsid w:val="13B46D98"/>
    <w:rsid w:val="13C0943B"/>
    <w:rsid w:val="13C2F731"/>
    <w:rsid w:val="13DD4950"/>
    <w:rsid w:val="13E44F54"/>
    <w:rsid w:val="13F4426D"/>
    <w:rsid w:val="140A7BFB"/>
    <w:rsid w:val="140FD28A"/>
    <w:rsid w:val="1413A62C"/>
    <w:rsid w:val="141601C9"/>
    <w:rsid w:val="141776B8"/>
    <w:rsid w:val="14321BB2"/>
    <w:rsid w:val="143452D8"/>
    <w:rsid w:val="1445BA7E"/>
    <w:rsid w:val="14554B1A"/>
    <w:rsid w:val="146A5566"/>
    <w:rsid w:val="14741BBA"/>
    <w:rsid w:val="14821842"/>
    <w:rsid w:val="149A5593"/>
    <w:rsid w:val="14B81D05"/>
    <w:rsid w:val="14C05EB3"/>
    <w:rsid w:val="14C46D40"/>
    <w:rsid w:val="14D5325D"/>
    <w:rsid w:val="14D6CB20"/>
    <w:rsid w:val="14D74FC8"/>
    <w:rsid w:val="14D77E43"/>
    <w:rsid w:val="14E2CDBF"/>
    <w:rsid w:val="14F88989"/>
    <w:rsid w:val="14FB6086"/>
    <w:rsid w:val="14FD8C2F"/>
    <w:rsid w:val="1504660C"/>
    <w:rsid w:val="150B107C"/>
    <w:rsid w:val="15166ABA"/>
    <w:rsid w:val="1524CDDA"/>
    <w:rsid w:val="15257DEF"/>
    <w:rsid w:val="15306BA5"/>
    <w:rsid w:val="15312A44"/>
    <w:rsid w:val="1547F861"/>
    <w:rsid w:val="154A38F3"/>
    <w:rsid w:val="15945BB0"/>
    <w:rsid w:val="159FBE12"/>
    <w:rsid w:val="15AD8ECA"/>
    <w:rsid w:val="15B1D22A"/>
    <w:rsid w:val="15CEEF97"/>
    <w:rsid w:val="15D464D8"/>
    <w:rsid w:val="15DF8E0B"/>
    <w:rsid w:val="15EE2757"/>
    <w:rsid w:val="15EF7FF5"/>
    <w:rsid w:val="15F66BA0"/>
    <w:rsid w:val="15F96403"/>
    <w:rsid w:val="15FCE41B"/>
    <w:rsid w:val="16081022"/>
    <w:rsid w:val="1609EBE4"/>
    <w:rsid w:val="160F4CCB"/>
    <w:rsid w:val="1623E0E0"/>
    <w:rsid w:val="1631B3A2"/>
    <w:rsid w:val="163625F4"/>
    <w:rsid w:val="163CDE13"/>
    <w:rsid w:val="1643AD00"/>
    <w:rsid w:val="164577F2"/>
    <w:rsid w:val="1651D9DF"/>
    <w:rsid w:val="1659E362"/>
    <w:rsid w:val="165D442F"/>
    <w:rsid w:val="1662C49D"/>
    <w:rsid w:val="1668A60D"/>
    <w:rsid w:val="1673201A"/>
    <w:rsid w:val="1678D66F"/>
    <w:rsid w:val="168023F1"/>
    <w:rsid w:val="16887A1F"/>
    <w:rsid w:val="168EB822"/>
    <w:rsid w:val="169459EA"/>
    <w:rsid w:val="16A43699"/>
    <w:rsid w:val="16BC5043"/>
    <w:rsid w:val="16BCE25F"/>
    <w:rsid w:val="16BFC649"/>
    <w:rsid w:val="16C46DB1"/>
    <w:rsid w:val="16C91AC1"/>
    <w:rsid w:val="16CB97C5"/>
    <w:rsid w:val="16CBE45D"/>
    <w:rsid w:val="16DD3432"/>
    <w:rsid w:val="16E84BF7"/>
    <w:rsid w:val="16F209AC"/>
    <w:rsid w:val="16F925E9"/>
    <w:rsid w:val="16F9E120"/>
    <w:rsid w:val="170E3E7F"/>
    <w:rsid w:val="17104FDE"/>
    <w:rsid w:val="17204DB1"/>
    <w:rsid w:val="172325C7"/>
    <w:rsid w:val="1743AFCE"/>
    <w:rsid w:val="17509417"/>
    <w:rsid w:val="1755984B"/>
    <w:rsid w:val="175B39FC"/>
    <w:rsid w:val="175B3C46"/>
    <w:rsid w:val="176A738D"/>
    <w:rsid w:val="1792BC9A"/>
    <w:rsid w:val="17AD5D62"/>
    <w:rsid w:val="17B7CEC8"/>
    <w:rsid w:val="17C71B69"/>
    <w:rsid w:val="17C94DBF"/>
    <w:rsid w:val="17DD2C95"/>
    <w:rsid w:val="17DFA2B8"/>
    <w:rsid w:val="17E17EED"/>
    <w:rsid w:val="17E21485"/>
    <w:rsid w:val="17E5EEE2"/>
    <w:rsid w:val="17F04823"/>
    <w:rsid w:val="18085AA9"/>
    <w:rsid w:val="1833D76A"/>
    <w:rsid w:val="183516EB"/>
    <w:rsid w:val="1841E3D7"/>
    <w:rsid w:val="18483742"/>
    <w:rsid w:val="1852CFD3"/>
    <w:rsid w:val="18551BFB"/>
    <w:rsid w:val="185B96AA"/>
    <w:rsid w:val="185E40BE"/>
    <w:rsid w:val="186BA4B8"/>
    <w:rsid w:val="186C3B5B"/>
    <w:rsid w:val="186F92E3"/>
    <w:rsid w:val="18722911"/>
    <w:rsid w:val="18756822"/>
    <w:rsid w:val="187C6BB5"/>
    <w:rsid w:val="18A83CBE"/>
    <w:rsid w:val="18BC33B1"/>
    <w:rsid w:val="18BEF628"/>
    <w:rsid w:val="18BF1196"/>
    <w:rsid w:val="18DDED1E"/>
    <w:rsid w:val="190A9E29"/>
    <w:rsid w:val="19198AA3"/>
    <w:rsid w:val="191DD3CB"/>
    <w:rsid w:val="192243DD"/>
    <w:rsid w:val="192B2160"/>
    <w:rsid w:val="192EAFDA"/>
    <w:rsid w:val="194DA1D9"/>
    <w:rsid w:val="195B81A2"/>
    <w:rsid w:val="196F2D17"/>
    <w:rsid w:val="1977BB1C"/>
    <w:rsid w:val="198166F9"/>
    <w:rsid w:val="19840D3D"/>
    <w:rsid w:val="19861207"/>
    <w:rsid w:val="198BB1E5"/>
    <w:rsid w:val="19901E7E"/>
    <w:rsid w:val="19967D24"/>
    <w:rsid w:val="199F1E08"/>
    <w:rsid w:val="199F6F10"/>
    <w:rsid w:val="19A8A380"/>
    <w:rsid w:val="19AAC32D"/>
    <w:rsid w:val="19AD42DB"/>
    <w:rsid w:val="19AE4F3F"/>
    <w:rsid w:val="19B1226E"/>
    <w:rsid w:val="19B1E3CA"/>
    <w:rsid w:val="19C8E612"/>
    <w:rsid w:val="19D3343D"/>
    <w:rsid w:val="19E91385"/>
    <w:rsid w:val="19EBBD35"/>
    <w:rsid w:val="1A023AA6"/>
    <w:rsid w:val="1A0588BC"/>
    <w:rsid w:val="1A14D4F4"/>
    <w:rsid w:val="1A38CCCB"/>
    <w:rsid w:val="1A3F2874"/>
    <w:rsid w:val="1A42847E"/>
    <w:rsid w:val="1A434E3C"/>
    <w:rsid w:val="1A440D1F"/>
    <w:rsid w:val="1A4E1A3C"/>
    <w:rsid w:val="1A662DB1"/>
    <w:rsid w:val="1A71D6EF"/>
    <w:rsid w:val="1A7571B0"/>
    <w:rsid w:val="1A7B56B7"/>
    <w:rsid w:val="1A7D2975"/>
    <w:rsid w:val="1A80FFED"/>
    <w:rsid w:val="1A83F938"/>
    <w:rsid w:val="1A8D469F"/>
    <w:rsid w:val="1A9196EB"/>
    <w:rsid w:val="1AA67DC0"/>
    <w:rsid w:val="1AAC7BE6"/>
    <w:rsid w:val="1AB271C5"/>
    <w:rsid w:val="1AB6B9CB"/>
    <w:rsid w:val="1AB9D8BC"/>
    <w:rsid w:val="1ADE34B3"/>
    <w:rsid w:val="1AE20C95"/>
    <w:rsid w:val="1AE2225B"/>
    <w:rsid w:val="1AEF0DF4"/>
    <w:rsid w:val="1AF0B72D"/>
    <w:rsid w:val="1AF75203"/>
    <w:rsid w:val="1AF98B89"/>
    <w:rsid w:val="1AFC2D8F"/>
    <w:rsid w:val="1B046D13"/>
    <w:rsid w:val="1B15A573"/>
    <w:rsid w:val="1B1C76C8"/>
    <w:rsid w:val="1B271926"/>
    <w:rsid w:val="1B2CCC2E"/>
    <w:rsid w:val="1B3C42A6"/>
    <w:rsid w:val="1B46D581"/>
    <w:rsid w:val="1B4A233E"/>
    <w:rsid w:val="1B66252A"/>
    <w:rsid w:val="1B6CB7AD"/>
    <w:rsid w:val="1B6F60BF"/>
    <w:rsid w:val="1B751366"/>
    <w:rsid w:val="1B77D092"/>
    <w:rsid w:val="1B92D853"/>
    <w:rsid w:val="1B93B241"/>
    <w:rsid w:val="1B984757"/>
    <w:rsid w:val="1B9CACF9"/>
    <w:rsid w:val="1BB0A555"/>
    <w:rsid w:val="1BD68AD9"/>
    <w:rsid w:val="1BDFDD80"/>
    <w:rsid w:val="1C0C33DB"/>
    <w:rsid w:val="1C1CD04E"/>
    <w:rsid w:val="1C1DDA98"/>
    <w:rsid w:val="1C291462"/>
    <w:rsid w:val="1C3C0098"/>
    <w:rsid w:val="1C3CB7B1"/>
    <w:rsid w:val="1C3DE4B0"/>
    <w:rsid w:val="1C45F1CE"/>
    <w:rsid w:val="1C4E4226"/>
    <w:rsid w:val="1C4F108C"/>
    <w:rsid w:val="1C68A587"/>
    <w:rsid w:val="1C6A00F0"/>
    <w:rsid w:val="1C7F2615"/>
    <w:rsid w:val="1C8A8783"/>
    <w:rsid w:val="1C8ABB74"/>
    <w:rsid w:val="1C8EF3E3"/>
    <w:rsid w:val="1C8FD1FE"/>
    <w:rsid w:val="1C90531A"/>
    <w:rsid w:val="1C932264"/>
    <w:rsid w:val="1CA59607"/>
    <w:rsid w:val="1CB37679"/>
    <w:rsid w:val="1CCB4CAD"/>
    <w:rsid w:val="1CD35E1E"/>
    <w:rsid w:val="1CDD603C"/>
    <w:rsid w:val="1CE5E003"/>
    <w:rsid w:val="1CE5F39F"/>
    <w:rsid w:val="1CEF1083"/>
    <w:rsid w:val="1CF5F3C9"/>
    <w:rsid w:val="1D0C54B9"/>
    <w:rsid w:val="1D32A096"/>
    <w:rsid w:val="1D36761C"/>
    <w:rsid w:val="1D4AF18C"/>
    <w:rsid w:val="1D5B138B"/>
    <w:rsid w:val="1D5FBC4D"/>
    <w:rsid w:val="1D621E6B"/>
    <w:rsid w:val="1D6457A6"/>
    <w:rsid w:val="1D67695B"/>
    <w:rsid w:val="1D7BADE1"/>
    <w:rsid w:val="1D85A6CD"/>
    <w:rsid w:val="1D87BFDD"/>
    <w:rsid w:val="1D9DFAD5"/>
    <w:rsid w:val="1DBAE7E6"/>
    <w:rsid w:val="1DC9F45B"/>
    <w:rsid w:val="1DD1C90C"/>
    <w:rsid w:val="1DD7D0F9"/>
    <w:rsid w:val="1DDB0293"/>
    <w:rsid w:val="1DE0F50F"/>
    <w:rsid w:val="1DE37BA4"/>
    <w:rsid w:val="1DECD50E"/>
    <w:rsid w:val="1DEE2B63"/>
    <w:rsid w:val="1E13B702"/>
    <w:rsid w:val="1E15D575"/>
    <w:rsid w:val="1E168562"/>
    <w:rsid w:val="1E19AD57"/>
    <w:rsid w:val="1E1C0837"/>
    <w:rsid w:val="1E1E7446"/>
    <w:rsid w:val="1E24F2F5"/>
    <w:rsid w:val="1E2661CC"/>
    <w:rsid w:val="1E30E34F"/>
    <w:rsid w:val="1E3B26BC"/>
    <w:rsid w:val="1E6A33B9"/>
    <w:rsid w:val="1E6A71CC"/>
    <w:rsid w:val="1E81C400"/>
    <w:rsid w:val="1E8E30F8"/>
    <w:rsid w:val="1E9A3274"/>
    <w:rsid w:val="1E9D2890"/>
    <w:rsid w:val="1EA2C4C8"/>
    <w:rsid w:val="1EAC2854"/>
    <w:rsid w:val="1EBAC262"/>
    <w:rsid w:val="1EBE258E"/>
    <w:rsid w:val="1ECB5303"/>
    <w:rsid w:val="1ECCD78F"/>
    <w:rsid w:val="1ECF6065"/>
    <w:rsid w:val="1EDC6C35"/>
    <w:rsid w:val="1EDF8336"/>
    <w:rsid w:val="1EF130D9"/>
    <w:rsid w:val="1EFCE625"/>
    <w:rsid w:val="1F0AD279"/>
    <w:rsid w:val="1F16BF5F"/>
    <w:rsid w:val="1F379E36"/>
    <w:rsid w:val="1F3A3CAF"/>
    <w:rsid w:val="1F410DD4"/>
    <w:rsid w:val="1F4D2EA2"/>
    <w:rsid w:val="1F4EC1B3"/>
    <w:rsid w:val="1F73A15A"/>
    <w:rsid w:val="1F78E0D0"/>
    <w:rsid w:val="1F93D92E"/>
    <w:rsid w:val="1F948C5E"/>
    <w:rsid w:val="1F98454D"/>
    <w:rsid w:val="1F9CEDAF"/>
    <w:rsid w:val="1FA16047"/>
    <w:rsid w:val="1FA1825B"/>
    <w:rsid w:val="1FB75FA1"/>
    <w:rsid w:val="1FCAC326"/>
    <w:rsid w:val="1FD67209"/>
    <w:rsid w:val="1FDE6E9B"/>
    <w:rsid w:val="1FE4F5C0"/>
    <w:rsid w:val="1FEDCEBA"/>
    <w:rsid w:val="1FF142D9"/>
    <w:rsid w:val="2004B8A3"/>
    <w:rsid w:val="2006422D"/>
    <w:rsid w:val="201805E1"/>
    <w:rsid w:val="201B3F28"/>
    <w:rsid w:val="2023784B"/>
    <w:rsid w:val="20320078"/>
    <w:rsid w:val="20344088"/>
    <w:rsid w:val="2038F8F1"/>
    <w:rsid w:val="2048F79B"/>
    <w:rsid w:val="2049B27E"/>
    <w:rsid w:val="204C9770"/>
    <w:rsid w:val="20534927"/>
    <w:rsid w:val="2054AF6C"/>
    <w:rsid w:val="2058B345"/>
    <w:rsid w:val="205A1520"/>
    <w:rsid w:val="205CFF8A"/>
    <w:rsid w:val="205EA966"/>
    <w:rsid w:val="2083A346"/>
    <w:rsid w:val="20841678"/>
    <w:rsid w:val="208D6F5C"/>
    <w:rsid w:val="208D7E00"/>
    <w:rsid w:val="20904646"/>
    <w:rsid w:val="209CF245"/>
    <w:rsid w:val="20AA7E6C"/>
    <w:rsid w:val="20AFA880"/>
    <w:rsid w:val="20B114B8"/>
    <w:rsid w:val="20B34EA3"/>
    <w:rsid w:val="20CBF2AD"/>
    <w:rsid w:val="20DA08A5"/>
    <w:rsid w:val="20DFE688"/>
    <w:rsid w:val="20E1B98A"/>
    <w:rsid w:val="20E7168B"/>
    <w:rsid w:val="20F4243C"/>
    <w:rsid w:val="20FC7A91"/>
    <w:rsid w:val="2100425B"/>
    <w:rsid w:val="21057043"/>
    <w:rsid w:val="21085755"/>
    <w:rsid w:val="210F2FEC"/>
    <w:rsid w:val="210F71BB"/>
    <w:rsid w:val="2113AD38"/>
    <w:rsid w:val="21216DD3"/>
    <w:rsid w:val="213DDBF8"/>
    <w:rsid w:val="213F8B61"/>
    <w:rsid w:val="2142B407"/>
    <w:rsid w:val="21440430"/>
    <w:rsid w:val="214D7637"/>
    <w:rsid w:val="21514E19"/>
    <w:rsid w:val="21528C51"/>
    <w:rsid w:val="21533002"/>
    <w:rsid w:val="21599F21"/>
    <w:rsid w:val="215C12C8"/>
    <w:rsid w:val="215D68FB"/>
    <w:rsid w:val="21651D45"/>
    <w:rsid w:val="21669387"/>
    <w:rsid w:val="216B48AD"/>
    <w:rsid w:val="219CB51D"/>
    <w:rsid w:val="21A57608"/>
    <w:rsid w:val="21B7C5BB"/>
    <w:rsid w:val="21B88FF8"/>
    <w:rsid w:val="21BD7254"/>
    <w:rsid w:val="21BF8EEE"/>
    <w:rsid w:val="21CEF36D"/>
    <w:rsid w:val="21E30845"/>
    <w:rsid w:val="21E333B9"/>
    <w:rsid w:val="21E3DB24"/>
    <w:rsid w:val="21F79354"/>
    <w:rsid w:val="21FC0D19"/>
    <w:rsid w:val="21FE570C"/>
    <w:rsid w:val="22073E75"/>
    <w:rsid w:val="2233B0F6"/>
    <w:rsid w:val="225795E4"/>
    <w:rsid w:val="225917F0"/>
    <w:rsid w:val="2263FB50"/>
    <w:rsid w:val="226C95B6"/>
    <w:rsid w:val="226CEBC5"/>
    <w:rsid w:val="2284CF64"/>
    <w:rsid w:val="228E4FFB"/>
    <w:rsid w:val="229470BF"/>
    <w:rsid w:val="22A7E2C9"/>
    <w:rsid w:val="22AB421C"/>
    <w:rsid w:val="22B18918"/>
    <w:rsid w:val="22BD83AA"/>
    <w:rsid w:val="22BDD29B"/>
    <w:rsid w:val="22C11C53"/>
    <w:rsid w:val="22C42E1A"/>
    <w:rsid w:val="22C642B0"/>
    <w:rsid w:val="22D3448C"/>
    <w:rsid w:val="22DC22AE"/>
    <w:rsid w:val="22DFD491"/>
    <w:rsid w:val="22ED1E7A"/>
    <w:rsid w:val="22F53B4E"/>
    <w:rsid w:val="22F56F82"/>
    <w:rsid w:val="2307051B"/>
    <w:rsid w:val="230AE741"/>
    <w:rsid w:val="230BCDB3"/>
    <w:rsid w:val="2318FC0E"/>
    <w:rsid w:val="2319461A"/>
    <w:rsid w:val="2323B2E8"/>
    <w:rsid w:val="2331865D"/>
    <w:rsid w:val="2331E311"/>
    <w:rsid w:val="234B4FCF"/>
    <w:rsid w:val="234DEDB6"/>
    <w:rsid w:val="234F85C6"/>
    <w:rsid w:val="2359E670"/>
    <w:rsid w:val="235B190D"/>
    <w:rsid w:val="236F1021"/>
    <w:rsid w:val="2388E89E"/>
    <w:rsid w:val="23A94AB2"/>
    <w:rsid w:val="23AA1ACD"/>
    <w:rsid w:val="23B78765"/>
    <w:rsid w:val="23BA617F"/>
    <w:rsid w:val="23BBB73A"/>
    <w:rsid w:val="23BE8CF2"/>
    <w:rsid w:val="23D23EAD"/>
    <w:rsid w:val="23D3992A"/>
    <w:rsid w:val="23F81F92"/>
    <w:rsid w:val="2407FFA8"/>
    <w:rsid w:val="240D3C59"/>
    <w:rsid w:val="24112D5B"/>
    <w:rsid w:val="241649CC"/>
    <w:rsid w:val="2417EB6B"/>
    <w:rsid w:val="241F5B1F"/>
    <w:rsid w:val="2425E8B9"/>
    <w:rsid w:val="2432EF60"/>
    <w:rsid w:val="243A50A0"/>
    <w:rsid w:val="24410A90"/>
    <w:rsid w:val="24493282"/>
    <w:rsid w:val="2452EE8B"/>
    <w:rsid w:val="24570097"/>
    <w:rsid w:val="2457B6D1"/>
    <w:rsid w:val="2459A2FC"/>
    <w:rsid w:val="245CA11F"/>
    <w:rsid w:val="246C5110"/>
    <w:rsid w:val="246DFB58"/>
    <w:rsid w:val="2471A940"/>
    <w:rsid w:val="248559A4"/>
    <w:rsid w:val="248725B3"/>
    <w:rsid w:val="249E3F56"/>
    <w:rsid w:val="24B67477"/>
    <w:rsid w:val="24D03113"/>
    <w:rsid w:val="24E27E90"/>
    <w:rsid w:val="24E8D48A"/>
    <w:rsid w:val="24E9BE17"/>
    <w:rsid w:val="24F51316"/>
    <w:rsid w:val="24F594BF"/>
    <w:rsid w:val="250EADD9"/>
    <w:rsid w:val="2531BA79"/>
    <w:rsid w:val="253DEA55"/>
    <w:rsid w:val="254CA224"/>
    <w:rsid w:val="254E55E1"/>
    <w:rsid w:val="255748FC"/>
    <w:rsid w:val="2567D798"/>
    <w:rsid w:val="256F698B"/>
    <w:rsid w:val="257F5434"/>
    <w:rsid w:val="25847103"/>
    <w:rsid w:val="259D9D01"/>
    <w:rsid w:val="25B3BBCC"/>
    <w:rsid w:val="25B6AA97"/>
    <w:rsid w:val="25E8A900"/>
    <w:rsid w:val="25F017E6"/>
    <w:rsid w:val="25F10EB7"/>
    <w:rsid w:val="25F6827F"/>
    <w:rsid w:val="25FD11F2"/>
    <w:rsid w:val="26019F7C"/>
    <w:rsid w:val="2613ABA3"/>
    <w:rsid w:val="2627B36F"/>
    <w:rsid w:val="2634E220"/>
    <w:rsid w:val="263A0FB7"/>
    <w:rsid w:val="26582D5E"/>
    <w:rsid w:val="266934F4"/>
    <w:rsid w:val="2674C9BA"/>
    <w:rsid w:val="267A4064"/>
    <w:rsid w:val="267E4EF1"/>
    <w:rsid w:val="26842526"/>
    <w:rsid w:val="2684A4EB"/>
    <w:rsid w:val="2689726E"/>
    <w:rsid w:val="2694C1EA"/>
    <w:rsid w:val="26AA4732"/>
    <w:rsid w:val="26ACABEA"/>
    <w:rsid w:val="26AD4EC3"/>
    <w:rsid w:val="26B027FB"/>
    <w:rsid w:val="26B6A4DC"/>
    <w:rsid w:val="26C1CD2B"/>
    <w:rsid w:val="26C33736"/>
    <w:rsid w:val="26C95CD5"/>
    <w:rsid w:val="26CD8ADA"/>
    <w:rsid w:val="26D4324F"/>
    <w:rsid w:val="26EB6519"/>
    <w:rsid w:val="26F7C079"/>
    <w:rsid w:val="270C33C9"/>
    <w:rsid w:val="2729991C"/>
    <w:rsid w:val="272A0A06"/>
    <w:rsid w:val="2730534C"/>
    <w:rsid w:val="27491F41"/>
    <w:rsid w:val="277F6356"/>
    <w:rsid w:val="278BFC78"/>
    <w:rsid w:val="2790F4CD"/>
    <w:rsid w:val="27931696"/>
    <w:rsid w:val="27985149"/>
    <w:rsid w:val="27AAF27A"/>
    <w:rsid w:val="27AEC098"/>
    <w:rsid w:val="27B1DFCC"/>
    <w:rsid w:val="27BC5625"/>
    <w:rsid w:val="27C4A541"/>
    <w:rsid w:val="27DC5248"/>
    <w:rsid w:val="27E3AFC7"/>
    <w:rsid w:val="27E7CDA5"/>
    <w:rsid w:val="27F20A24"/>
    <w:rsid w:val="2808B801"/>
    <w:rsid w:val="282163D8"/>
    <w:rsid w:val="28261E38"/>
    <w:rsid w:val="2827A2F4"/>
    <w:rsid w:val="2828A646"/>
    <w:rsid w:val="2839E11D"/>
    <w:rsid w:val="283C672D"/>
    <w:rsid w:val="283FCF6B"/>
    <w:rsid w:val="28464E9B"/>
    <w:rsid w:val="284DDA21"/>
    <w:rsid w:val="2853966E"/>
    <w:rsid w:val="285DA202"/>
    <w:rsid w:val="2861A4A8"/>
    <w:rsid w:val="286507D4"/>
    <w:rsid w:val="286B8F63"/>
    <w:rsid w:val="28758CCE"/>
    <w:rsid w:val="2892D15E"/>
    <w:rsid w:val="289846E9"/>
    <w:rsid w:val="28A883B4"/>
    <w:rsid w:val="28ACC230"/>
    <w:rsid w:val="28B7D60F"/>
    <w:rsid w:val="28B9197F"/>
    <w:rsid w:val="28BEB5C9"/>
    <w:rsid w:val="28ED4B83"/>
    <w:rsid w:val="28FC8B7D"/>
    <w:rsid w:val="28FD917F"/>
    <w:rsid w:val="2902A5B7"/>
    <w:rsid w:val="290C9CCE"/>
    <w:rsid w:val="2921B568"/>
    <w:rsid w:val="29301CDE"/>
    <w:rsid w:val="293451B8"/>
    <w:rsid w:val="2942CDFF"/>
    <w:rsid w:val="294F1615"/>
    <w:rsid w:val="294F3ABC"/>
    <w:rsid w:val="294FC6D3"/>
    <w:rsid w:val="2958881C"/>
    <w:rsid w:val="297A8A98"/>
    <w:rsid w:val="297F56F9"/>
    <w:rsid w:val="29884414"/>
    <w:rsid w:val="29A19AB6"/>
    <w:rsid w:val="29A745AA"/>
    <w:rsid w:val="29B13234"/>
    <w:rsid w:val="29B17876"/>
    <w:rsid w:val="29BD3439"/>
    <w:rsid w:val="29BDD824"/>
    <w:rsid w:val="29BF59C5"/>
    <w:rsid w:val="29C6FFBE"/>
    <w:rsid w:val="29C88439"/>
    <w:rsid w:val="29C89412"/>
    <w:rsid w:val="29CB91BE"/>
    <w:rsid w:val="29DBA63B"/>
    <w:rsid w:val="29FD7509"/>
    <w:rsid w:val="2A00D835"/>
    <w:rsid w:val="2A086951"/>
    <w:rsid w:val="2A104C37"/>
    <w:rsid w:val="2A1A1FC3"/>
    <w:rsid w:val="2A1BCF37"/>
    <w:rsid w:val="2A229806"/>
    <w:rsid w:val="2A2BFBED"/>
    <w:rsid w:val="2A34174A"/>
    <w:rsid w:val="2A42DAAE"/>
    <w:rsid w:val="2A62A4E2"/>
    <w:rsid w:val="2A64CA0D"/>
    <w:rsid w:val="2A6ED0C1"/>
    <w:rsid w:val="2A75C160"/>
    <w:rsid w:val="2A75C666"/>
    <w:rsid w:val="2A88BB87"/>
    <w:rsid w:val="2A8E9CA3"/>
    <w:rsid w:val="2A9723B7"/>
    <w:rsid w:val="2A97EF0F"/>
    <w:rsid w:val="2AB65401"/>
    <w:rsid w:val="2ABC6C86"/>
    <w:rsid w:val="2ABE421F"/>
    <w:rsid w:val="2AC8958F"/>
    <w:rsid w:val="2AF4587D"/>
    <w:rsid w:val="2B059354"/>
    <w:rsid w:val="2B08E42C"/>
    <w:rsid w:val="2B0DE2B6"/>
    <w:rsid w:val="2B287CA4"/>
    <w:rsid w:val="2B45307F"/>
    <w:rsid w:val="2B4DB187"/>
    <w:rsid w:val="2B5155A1"/>
    <w:rsid w:val="2B83D38D"/>
    <w:rsid w:val="2B899B89"/>
    <w:rsid w:val="2B8A4406"/>
    <w:rsid w:val="2B9130A0"/>
    <w:rsid w:val="2B979327"/>
    <w:rsid w:val="2B9D304A"/>
    <w:rsid w:val="2BA7A372"/>
    <w:rsid w:val="2BB51DF4"/>
    <w:rsid w:val="2BCA243D"/>
    <w:rsid w:val="2BCFE7AB"/>
    <w:rsid w:val="2BD21DC7"/>
    <w:rsid w:val="2BEA8452"/>
    <w:rsid w:val="2BED68B5"/>
    <w:rsid w:val="2BF346E9"/>
    <w:rsid w:val="2BFD43CB"/>
    <w:rsid w:val="2BFFADC2"/>
    <w:rsid w:val="2C003D0E"/>
    <w:rsid w:val="2C0752E8"/>
    <w:rsid w:val="2C09A1B8"/>
    <w:rsid w:val="2C10F2F8"/>
    <w:rsid w:val="2C215BB1"/>
    <w:rsid w:val="2C22FD50"/>
    <w:rsid w:val="2C24B077"/>
    <w:rsid w:val="2C2CCDA1"/>
    <w:rsid w:val="2C339F30"/>
    <w:rsid w:val="2C3A10F3"/>
    <w:rsid w:val="2C3E746B"/>
    <w:rsid w:val="2C4BCAFC"/>
    <w:rsid w:val="2C57D053"/>
    <w:rsid w:val="2C60503B"/>
    <w:rsid w:val="2C612156"/>
    <w:rsid w:val="2C6465F0"/>
    <w:rsid w:val="2C6835E0"/>
    <w:rsid w:val="2C87E92B"/>
    <w:rsid w:val="2C8CAB74"/>
    <w:rsid w:val="2C93D5E2"/>
    <w:rsid w:val="2C981664"/>
    <w:rsid w:val="2CC2D37F"/>
    <w:rsid w:val="2CDE2EE8"/>
    <w:rsid w:val="2CE7554A"/>
    <w:rsid w:val="2CFDDD2D"/>
    <w:rsid w:val="2D0D6BCF"/>
    <w:rsid w:val="2D19C7CE"/>
    <w:rsid w:val="2D24FCCF"/>
    <w:rsid w:val="2D28638F"/>
    <w:rsid w:val="2D2BF6FD"/>
    <w:rsid w:val="2D2BFC03"/>
    <w:rsid w:val="2D35C908"/>
    <w:rsid w:val="2D3878F7"/>
    <w:rsid w:val="2D47ECF9"/>
    <w:rsid w:val="2D5ED353"/>
    <w:rsid w:val="2D72AE7B"/>
    <w:rsid w:val="2D765801"/>
    <w:rsid w:val="2D878FFD"/>
    <w:rsid w:val="2D8827D4"/>
    <w:rsid w:val="2D8A9F5A"/>
    <w:rsid w:val="2DA1F50B"/>
    <w:rsid w:val="2DADF066"/>
    <w:rsid w:val="2DAE4A76"/>
    <w:rsid w:val="2DBC6CE2"/>
    <w:rsid w:val="2DCD9F79"/>
    <w:rsid w:val="2DEF4CF6"/>
    <w:rsid w:val="2DF2FBA6"/>
    <w:rsid w:val="2DF5268B"/>
    <w:rsid w:val="2E00D1BF"/>
    <w:rsid w:val="2E01E9C1"/>
    <w:rsid w:val="2E0401D1"/>
    <w:rsid w:val="2E0823D7"/>
    <w:rsid w:val="2E193B85"/>
    <w:rsid w:val="2E228738"/>
    <w:rsid w:val="2E407480"/>
    <w:rsid w:val="2E6A1B7D"/>
    <w:rsid w:val="2E7253DB"/>
    <w:rsid w:val="2E85417B"/>
    <w:rsid w:val="2E9C2035"/>
    <w:rsid w:val="2E9FD3CF"/>
    <w:rsid w:val="2EA3B5D9"/>
    <w:rsid w:val="2EAF175E"/>
    <w:rsid w:val="2EB05076"/>
    <w:rsid w:val="2EB5901F"/>
    <w:rsid w:val="2EC794A5"/>
    <w:rsid w:val="2ED0AF5E"/>
    <w:rsid w:val="2ED177DC"/>
    <w:rsid w:val="2EDB9F4D"/>
    <w:rsid w:val="2EE4CE52"/>
    <w:rsid w:val="2EEBC435"/>
    <w:rsid w:val="2EECCD74"/>
    <w:rsid w:val="2EEE15F5"/>
    <w:rsid w:val="2EF3F944"/>
    <w:rsid w:val="2EF60929"/>
    <w:rsid w:val="2EF7B671"/>
    <w:rsid w:val="2F0212E2"/>
    <w:rsid w:val="2F03E08E"/>
    <w:rsid w:val="2F0ACE0B"/>
    <w:rsid w:val="2F299E30"/>
    <w:rsid w:val="2F2A46FE"/>
    <w:rsid w:val="2F304889"/>
    <w:rsid w:val="2F313F93"/>
    <w:rsid w:val="2F5782CB"/>
    <w:rsid w:val="2F5BE516"/>
    <w:rsid w:val="2F5D2EF9"/>
    <w:rsid w:val="2F6319A2"/>
    <w:rsid w:val="2F66532A"/>
    <w:rsid w:val="2F6B3FF2"/>
    <w:rsid w:val="2F7A6E65"/>
    <w:rsid w:val="2FA3933C"/>
    <w:rsid w:val="2FABE536"/>
    <w:rsid w:val="2FBE5799"/>
    <w:rsid w:val="2FC82B7C"/>
    <w:rsid w:val="2FCC468C"/>
    <w:rsid w:val="2FE0F1FD"/>
    <w:rsid w:val="2FEB16B0"/>
    <w:rsid w:val="3015DDF1"/>
    <w:rsid w:val="3026C8EE"/>
    <w:rsid w:val="304FCFE6"/>
    <w:rsid w:val="306BE547"/>
    <w:rsid w:val="306F11D4"/>
    <w:rsid w:val="3070A16D"/>
    <w:rsid w:val="30781755"/>
    <w:rsid w:val="30809EB3"/>
    <w:rsid w:val="30826D59"/>
    <w:rsid w:val="308D7D2D"/>
    <w:rsid w:val="309C9F52"/>
    <w:rsid w:val="30B00BC6"/>
    <w:rsid w:val="30BC53EA"/>
    <w:rsid w:val="30C1E73F"/>
    <w:rsid w:val="30D35B0A"/>
    <w:rsid w:val="30FB687F"/>
    <w:rsid w:val="31071053"/>
    <w:rsid w:val="3107CB1D"/>
    <w:rsid w:val="3126EDB8"/>
    <w:rsid w:val="31285B32"/>
    <w:rsid w:val="312E4746"/>
    <w:rsid w:val="3135BF9C"/>
    <w:rsid w:val="313731F3"/>
    <w:rsid w:val="3137D713"/>
    <w:rsid w:val="3163386B"/>
    <w:rsid w:val="316B8787"/>
    <w:rsid w:val="3171BA49"/>
    <w:rsid w:val="31742658"/>
    <w:rsid w:val="317A04D9"/>
    <w:rsid w:val="3187D894"/>
    <w:rsid w:val="31B7EC05"/>
    <w:rsid w:val="31C75792"/>
    <w:rsid w:val="31DB569B"/>
    <w:rsid w:val="31E7F138"/>
    <w:rsid w:val="31E8146D"/>
    <w:rsid w:val="31F9A3D0"/>
    <w:rsid w:val="3201EA78"/>
    <w:rsid w:val="320A3CEE"/>
    <w:rsid w:val="320B5CAE"/>
    <w:rsid w:val="320BEA1A"/>
    <w:rsid w:val="320D068A"/>
    <w:rsid w:val="321044C2"/>
    <w:rsid w:val="32136496"/>
    <w:rsid w:val="32286E02"/>
    <w:rsid w:val="32359771"/>
    <w:rsid w:val="3243EE62"/>
    <w:rsid w:val="3244AF6F"/>
    <w:rsid w:val="324FD14A"/>
    <w:rsid w:val="32589907"/>
    <w:rsid w:val="3267E94B"/>
    <w:rsid w:val="3268E055"/>
    <w:rsid w:val="3294CEC9"/>
    <w:rsid w:val="3295A223"/>
    <w:rsid w:val="32A9B204"/>
    <w:rsid w:val="32B66962"/>
    <w:rsid w:val="32BB80D8"/>
    <w:rsid w:val="32C098C4"/>
    <w:rsid w:val="32D41C0B"/>
    <w:rsid w:val="32E8D1B8"/>
    <w:rsid w:val="32F1112B"/>
    <w:rsid w:val="32FCDD37"/>
    <w:rsid w:val="32FFCC3E"/>
    <w:rsid w:val="33014DDE"/>
    <w:rsid w:val="33059C4D"/>
    <w:rsid w:val="33074CDB"/>
    <w:rsid w:val="3313E5A3"/>
    <w:rsid w:val="3313FD3B"/>
    <w:rsid w:val="331892BF"/>
    <w:rsid w:val="331BBCFE"/>
    <w:rsid w:val="33207538"/>
    <w:rsid w:val="332CAD81"/>
    <w:rsid w:val="3340FF5E"/>
    <w:rsid w:val="335696CE"/>
    <w:rsid w:val="3356D6A1"/>
    <w:rsid w:val="336CC3C5"/>
    <w:rsid w:val="3374B14B"/>
    <w:rsid w:val="3390AB8D"/>
    <w:rsid w:val="339C007C"/>
    <w:rsid w:val="33A40A36"/>
    <w:rsid w:val="33A7BA7B"/>
    <w:rsid w:val="33B77389"/>
    <w:rsid w:val="33BCB307"/>
    <w:rsid w:val="33C0E8B7"/>
    <w:rsid w:val="33C64761"/>
    <w:rsid w:val="33C902A4"/>
    <w:rsid w:val="33CE14D7"/>
    <w:rsid w:val="33CE8AA4"/>
    <w:rsid w:val="33DFBEC3"/>
    <w:rsid w:val="33E174C1"/>
    <w:rsid w:val="33E3216E"/>
    <w:rsid w:val="33E66613"/>
    <w:rsid w:val="33F7F526"/>
    <w:rsid w:val="33FF563F"/>
    <w:rsid w:val="3401FC04"/>
    <w:rsid w:val="34125874"/>
    <w:rsid w:val="3412F83C"/>
    <w:rsid w:val="342CCB26"/>
    <w:rsid w:val="342E0F35"/>
    <w:rsid w:val="3438CDB4"/>
    <w:rsid w:val="343A0EDB"/>
    <w:rsid w:val="343F244A"/>
    <w:rsid w:val="34531D89"/>
    <w:rsid w:val="34547A7C"/>
    <w:rsid w:val="346E21A2"/>
    <w:rsid w:val="3477655B"/>
    <w:rsid w:val="3495B6D0"/>
    <w:rsid w:val="3498AD98"/>
    <w:rsid w:val="34A95B0B"/>
    <w:rsid w:val="34B8068E"/>
    <w:rsid w:val="34C1924B"/>
    <w:rsid w:val="34D88DEE"/>
    <w:rsid w:val="34E6F048"/>
    <w:rsid w:val="34F0D899"/>
    <w:rsid w:val="34F2672F"/>
    <w:rsid w:val="34F9C703"/>
    <w:rsid w:val="350604F6"/>
    <w:rsid w:val="350A18AC"/>
    <w:rsid w:val="350AA11D"/>
    <w:rsid w:val="351081AC"/>
    <w:rsid w:val="351103DE"/>
    <w:rsid w:val="35313BED"/>
    <w:rsid w:val="353B57AD"/>
    <w:rsid w:val="354A9FD4"/>
    <w:rsid w:val="355169CC"/>
    <w:rsid w:val="355FE492"/>
    <w:rsid w:val="3571B675"/>
    <w:rsid w:val="3581FEE2"/>
    <w:rsid w:val="358D7ADB"/>
    <w:rsid w:val="35911D20"/>
    <w:rsid w:val="3598274F"/>
    <w:rsid w:val="3598DFB4"/>
    <w:rsid w:val="359BA6FA"/>
    <w:rsid w:val="359C0DB9"/>
    <w:rsid w:val="359C6CDB"/>
    <w:rsid w:val="35AEC89D"/>
    <w:rsid w:val="35AECA02"/>
    <w:rsid w:val="35AF159A"/>
    <w:rsid w:val="35C1DA3F"/>
    <w:rsid w:val="35C9DF96"/>
    <w:rsid w:val="35D4D4A7"/>
    <w:rsid w:val="35DA649D"/>
    <w:rsid w:val="35DA8176"/>
    <w:rsid w:val="35DEB7AB"/>
    <w:rsid w:val="35E2E31E"/>
    <w:rsid w:val="35E2E64D"/>
    <w:rsid w:val="35E419C3"/>
    <w:rsid w:val="35E7EE10"/>
    <w:rsid w:val="35EA78A5"/>
    <w:rsid w:val="35EEFCA1"/>
    <w:rsid w:val="35EF7619"/>
    <w:rsid w:val="36075939"/>
    <w:rsid w:val="361354ED"/>
    <w:rsid w:val="362B52E7"/>
    <w:rsid w:val="36347DF9"/>
    <w:rsid w:val="36350197"/>
    <w:rsid w:val="36460563"/>
    <w:rsid w:val="364B8665"/>
    <w:rsid w:val="364FF6E1"/>
    <w:rsid w:val="365147A1"/>
    <w:rsid w:val="36699F14"/>
    <w:rsid w:val="367EF805"/>
    <w:rsid w:val="3689827C"/>
    <w:rsid w:val="36927008"/>
    <w:rsid w:val="36939501"/>
    <w:rsid w:val="36A2D6FE"/>
    <w:rsid w:val="36A34005"/>
    <w:rsid w:val="36B38B7B"/>
    <w:rsid w:val="36B5BF4C"/>
    <w:rsid w:val="36B94F76"/>
    <w:rsid w:val="36C88F8A"/>
    <w:rsid w:val="36CF4A68"/>
    <w:rsid w:val="36CFE862"/>
    <w:rsid w:val="36D938E3"/>
    <w:rsid w:val="36DBAAF8"/>
    <w:rsid w:val="36E6D45D"/>
    <w:rsid w:val="36EEE9A0"/>
    <w:rsid w:val="36EFE037"/>
    <w:rsid w:val="36F730BC"/>
    <w:rsid w:val="3700462D"/>
    <w:rsid w:val="3700A366"/>
    <w:rsid w:val="3716AE8E"/>
    <w:rsid w:val="371EB5BD"/>
    <w:rsid w:val="3720CDD2"/>
    <w:rsid w:val="372669B6"/>
    <w:rsid w:val="3726F0FB"/>
    <w:rsid w:val="372C0A2A"/>
    <w:rsid w:val="3737DE1A"/>
    <w:rsid w:val="3740B56F"/>
    <w:rsid w:val="374CF735"/>
    <w:rsid w:val="375944F6"/>
    <w:rsid w:val="3760554E"/>
    <w:rsid w:val="37662F65"/>
    <w:rsid w:val="3776A828"/>
    <w:rsid w:val="377EB077"/>
    <w:rsid w:val="3784C931"/>
    <w:rsid w:val="3785C8E3"/>
    <w:rsid w:val="37870057"/>
    <w:rsid w:val="378ACD02"/>
    <w:rsid w:val="37A20C55"/>
    <w:rsid w:val="37AB28B9"/>
    <w:rsid w:val="37BD5C8B"/>
    <w:rsid w:val="37BFB308"/>
    <w:rsid w:val="37D04E5A"/>
    <w:rsid w:val="37D94FA3"/>
    <w:rsid w:val="37DE978B"/>
    <w:rsid w:val="37E9D5BC"/>
    <w:rsid w:val="37F3E65B"/>
    <w:rsid w:val="37FB82F7"/>
    <w:rsid w:val="3808C9AD"/>
    <w:rsid w:val="38109426"/>
    <w:rsid w:val="38166CFB"/>
    <w:rsid w:val="381AC866"/>
    <w:rsid w:val="38244AD5"/>
    <w:rsid w:val="38369916"/>
    <w:rsid w:val="383B2C9A"/>
    <w:rsid w:val="38404A01"/>
    <w:rsid w:val="38404A8D"/>
    <w:rsid w:val="3841B96E"/>
    <w:rsid w:val="3848226E"/>
    <w:rsid w:val="384AC528"/>
    <w:rsid w:val="3850C2C4"/>
    <w:rsid w:val="385732BC"/>
    <w:rsid w:val="38617049"/>
    <w:rsid w:val="38739CEE"/>
    <w:rsid w:val="3879FAFA"/>
    <w:rsid w:val="387EC2B5"/>
    <w:rsid w:val="38975C3B"/>
    <w:rsid w:val="389918BB"/>
    <w:rsid w:val="389C73C7"/>
    <w:rsid w:val="38B14DFD"/>
    <w:rsid w:val="38B1918C"/>
    <w:rsid w:val="38B27EEF"/>
    <w:rsid w:val="38BA861E"/>
    <w:rsid w:val="38D28E19"/>
    <w:rsid w:val="38E0B36E"/>
    <w:rsid w:val="38E66AC4"/>
    <w:rsid w:val="38EE9680"/>
    <w:rsid w:val="3906CF25"/>
    <w:rsid w:val="390FAEA2"/>
    <w:rsid w:val="3922D0B8"/>
    <w:rsid w:val="3925D19E"/>
    <w:rsid w:val="39269D63"/>
    <w:rsid w:val="393189B1"/>
    <w:rsid w:val="393255D9"/>
    <w:rsid w:val="393EF9FB"/>
    <w:rsid w:val="393FC5C0"/>
    <w:rsid w:val="395180EE"/>
    <w:rsid w:val="39564743"/>
    <w:rsid w:val="395F1A4E"/>
    <w:rsid w:val="3962999A"/>
    <w:rsid w:val="39666E54"/>
    <w:rsid w:val="396C1EBB"/>
    <w:rsid w:val="397D7646"/>
    <w:rsid w:val="398772AD"/>
    <w:rsid w:val="3987A47D"/>
    <w:rsid w:val="3987B423"/>
    <w:rsid w:val="398A6610"/>
    <w:rsid w:val="3992E683"/>
    <w:rsid w:val="3995ED3D"/>
    <w:rsid w:val="3999F87E"/>
    <w:rsid w:val="39B8B532"/>
    <w:rsid w:val="39BD9F5E"/>
    <w:rsid w:val="39C959FC"/>
    <w:rsid w:val="39DC0549"/>
    <w:rsid w:val="39E6FF58"/>
    <w:rsid w:val="3A2F7A62"/>
    <w:rsid w:val="3A31F3F4"/>
    <w:rsid w:val="3A3EE265"/>
    <w:rsid w:val="3A440A8B"/>
    <w:rsid w:val="3A47E253"/>
    <w:rsid w:val="3A4E4F50"/>
    <w:rsid w:val="3A538043"/>
    <w:rsid w:val="3A56FA53"/>
    <w:rsid w:val="3A645915"/>
    <w:rsid w:val="3A66323D"/>
    <w:rsid w:val="3A7B9922"/>
    <w:rsid w:val="3A94C946"/>
    <w:rsid w:val="3A965D4D"/>
    <w:rsid w:val="3AA6E33A"/>
    <w:rsid w:val="3AA845CA"/>
    <w:rsid w:val="3AACE96D"/>
    <w:rsid w:val="3AAD4781"/>
    <w:rsid w:val="3AADF299"/>
    <w:rsid w:val="3AC26DC4"/>
    <w:rsid w:val="3AC9F6FC"/>
    <w:rsid w:val="3ACF1C2D"/>
    <w:rsid w:val="3AD39D2C"/>
    <w:rsid w:val="3AD8871D"/>
    <w:rsid w:val="3AE6A6DF"/>
    <w:rsid w:val="3AEAE9CD"/>
    <w:rsid w:val="3AF69F83"/>
    <w:rsid w:val="3B005384"/>
    <w:rsid w:val="3B0602C5"/>
    <w:rsid w:val="3B0F85AB"/>
    <w:rsid w:val="3B1137B7"/>
    <w:rsid w:val="3B29F860"/>
    <w:rsid w:val="3B2B871D"/>
    <w:rsid w:val="3B2D5523"/>
    <w:rsid w:val="3B52DCCF"/>
    <w:rsid w:val="3B67FF8C"/>
    <w:rsid w:val="3B6E54B7"/>
    <w:rsid w:val="3B8ED37E"/>
    <w:rsid w:val="3B8F2137"/>
    <w:rsid w:val="3B99E7BD"/>
    <w:rsid w:val="3BA7C97A"/>
    <w:rsid w:val="3BAB4DDE"/>
    <w:rsid w:val="3BAC1C87"/>
    <w:rsid w:val="3BB2CC60"/>
    <w:rsid w:val="3BC20FDB"/>
    <w:rsid w:val="3BC76AF7"/>
    <w:rsid w:val="3BD168C9"/>
    <w:rsid w:val="3BF7B384"/>
    <w:rsid w:val="3BF926C4"/>
    <w:rsid w:val="3C135359"/>
    <w:rsid w:val="3C29211A"/>
    <w:rsid w:val="3C322DAE"/>
    <w:rsid w:val="3C475595"/>
    <w:rsid w:val="3C49C2FA"/>
    <w:rsid w:val="3C529390"/>
    <w:rsid w:val="3C556EF7"/>
    <w:rsid w:val="3C8037E3"/>
    <w:rsid w:val="3C87F012"/>
    <w:rsid w:val="3C8921B0"/>
    <w:rsid w:val="3C9A3A5C"/>
    <w:rsid w:val="3CA6AE84"/>
    <w:rsid w:val="3CAAF253"/>
    <w:rsid w:val="3CAD20A9"/>
    <w:rsid w:val="3CD5BD7F"/>
    <w:rsid w:val="3CE0559C"/>
    <w:rsid w:val="3CE529FD"/>
    <w:rsid w:val="3CEE472E"/>
    <w:rsid w:val="3D11F7BF"/>
    <w:rsid w:val="3D16AE36"/>
    <w:rsid w:val="3D20EB5B"/>
    <w:rsid w:val="3D245D90"/>
    <w:rsid w:val="3D2ACF53"/>
    <w:rsid w:val="3D4399DB"/>
    <w:rsid w:val="3D460455"/>
    <w:rsid w:val="3D4E9CC1"/>
    <w:rsid w:val="3D6AE532"/>
    <w:rsid w:val="3D6FBB0B"/>
    <w:rsid w:val="3D70DB57"/>
    <w:rsid w:val="3D78DA14"/>
    <w:rsid w:val="3D79BB0C"/>
    <w:rsid w:val="3D9B7980"/>
    <w:rsid w:val="3DA6DAF6"/>
    <w:rsid w:val="3DB43728"/>
    <w:rsid w:val="3DD4C99E"/>
    <w:rsid w:val="3DDC9589"/>
    <w:rsid w:val="3DDCF4D5"/>
    <w:rsid w:val="3DE4E843"/>
    <w:rsid w:val="3DE5935B"/>
    <w:rsid w:val="3DF6E6B4"/>
    <w:rsid w:val="3DF942C1"/>
    <w:rsid w:val="3E04055D"/>
    <w:rsid w:val="3E126B1E"/>
    <w:rsid w:val="3E1D9BC0"/>
    <w:rsid w:val="3E21D185"/>
    <w:rsid w:val="3E24F211"/>
    <w:rsid w:val="3E360ABD"/>
    <w:rsid w:val="3E3F5F84"/>
    <w:rsid w:val="3E427EE5"/>
    <w:rsid w:val="3E458F1F"/>
    <w:rsid w:val="3E4AA10A"/>
    <w:rsid w:val="3E52D11C"/>
    <w:rsid w:val="3E5DAB52"/>
    <w:rsid w:val="3E6249E5"/>
    <w:rsid w:val="3E7A022A"/>
    <w:rsid w:val="3E87CF44"/>
    <w:rsid w:val="3E941CF7"/>
    <w:rsid w:val="3E9AD5A0"/>
    <w:rsid w:val="3E9F55E0"/>
    <w:rsid w:val="3EAE0FAD"/>
    <w:rsid w:val="3EB75928"/>
    <w:rsid w:val="3EBCE5F6"/>
    <w:rsid w:val="3EC63960"/>
    <w:rsid w:val="3ED9859F"/>
    <w:rsid w:val="3EF51D8B"/>
    <w:rsid w:val="3EFAF09F"/>
    <w:rsid w:val="3EFFAF1F"/>
    <w:rsid w:val="3F0687B6"/>
    <w:rsid w:val="3F134598"/>
    <w:rsid w:val="3F202432"/>
    <w:rsid w:val="3F25206C"/>
    <w:rsid w:val="3F26578F"/>
    <w:rsid w:val="3F28E128"/>
    <w:rsid w:val="3F2D43F6"/>
    <w:rsid w:val="3F3749E1"/>
    <w:rsid w:val="3F49683A"/>
    <w:rsid w:val="3F6ACCA2"/>
    <w:rsid w:val="3F7A64F6"/>
    <w:rsid w:val="3F7BB6ED"/>
    <w:rsid w:val="3F9456DE"/>
    <w:rsid w:val="3F95DEE7"/>
    <w:rsid w:val="3FA0CB35"/>
    <w:rsid w:val="3FAFA739"/>
    <w:rsid w:val="3FBE4104"/>
    <w:rsid w:val="3FBE5AF0"/>
    <w:rsid w:val="3FC507B8"/>
    <w:rsid w:val="3FC73D83"/>
    <w:rsid w:val="3FC7C6A0"/>
    <w:rsid w:val="3FC847E0"/>
    <w:rsid w:val="3FCBF827"/>
    <w:rsid w:val="3FDB2FE5"/>
    <w:rsid w:val="3FE6FE37"/>
    <w:rsid w:val="3FEC17D5"/>
    <w:rsid w:val="3FEE4A87"/>
    <w:rsid w:val="3FFF783E"/>
    <w:rsid w:val="40070A31"/>
    <w:rsid w:val="4015CFAC"/>
    <w:rsid w:val="401BA60B"/>
    <w:rsid w:val="40205909"/>
    <w:rsid w:val="402F4296"/>
    <w:rsid w:val="40353DA7"/>
    <w:rsid w:val="403D9294"/>
    <w:rsid w:val="403E40E8"/>
    <w:rsid w:val="404F0FC2"/>
    <w:rsid w:val="4055D70D"/>
    <w:rsid w:val="40688CEF"/>
    <w:rsid w:val="407A8384"/>
    <w:rsid w:val="4084E57C"/>
    <w:rsid w:val="40863D83"/>
    <w:rsid w:val="4089BC22"/>
    <w:rsid w:val="4095ED9C"/>
    <w:rsid w:val="40A24685"/>
    <w:rsid w:val="40A296F3"/>
    <w:rsid w:val="40AF15F9"/>
    <w:rsid w:val="40BBF493"/>
    <w:rsid w:val="40C4B0EA"/>
    <w:rsid w:val="40D2AF8D"/>
    <w:rsid w:val="40D31A42"/>
    <w:rsid w:val="40D72E71"/>
    <w:rsid w:val="40DE22D5"/>
    <w:rsid w:val="40E23713"/>
    <w:rsid w:val="40E65F38"/>
    <w:rsid w:val="40EE7B54"/>
    <w:rsid w:val="40FE3B63"/>
    <w:rsid w:val="41059ED1"/>
    <w:rsid w:val="41165B5B"/>
    <w:rsid w:val="411A35AD"/>
    <w:rsid w:val="41204A51"/>
    <w:rsid w:val="41325C1C"/>
    <w:rsid w:val="4138E2A2"/>
    <w:rsid w:val="4147C8A1"/>
    <w:rsid w:val="415A2B51"/>
    <w:rsid w:val="417A1FA7"/>
    <w:rsid w:val="418E8B41"/>
    <w:rsid w:val="41990E61"/>
    <w:rsid w:val="41A7477B"/>
    <w:rsid w:val="41AAB923"/>
    <w:rsid w:val="41B1B949"/>
    <w:rsid w:val="41B5E4BC"/>
    <w:rsid w:val="41C1DBFE"/>
    <w:rsid w:val="41CB6AAE"/>
    <w:rsid w:val="41D10E08"/>
    <w:rsid w:val="41D913B8"/>
    <w:rsid w:val="41DF76B8"/>
    <w:rsid w:val="41EC7584"/>
    <w:rsid w:val="41EF04B4"/>
    <w:rsid w:val="41F1A76E"/>
    <w:rsid w:val="41F5E13D"/>
    <w:rsid w:val="41FED5D3"/>
    <w:rsid w:val="420B4231"/>
    <w:rsid w:val="420FB5EB"/>
    <w:rsid w:val="420FFA7F"/>
    <w:rsid w:val="421653E5"/>
    <w:rsid w:val="4218D614"/>
    <w:rsid w:val="4220FFA3"/>
    <w:rsid w:val="42258C83"/>
    <w:rsid w:val="4238F0C1"/>
    <w:rsid w:val="423EE33D"/>
    <w:rsid w:val="42431A9C"/>
    <w:rsid w:val="425C45E7"/>
    <w:rsid w:val="42661D5F"/>
    <w:rsid w:val="426948DB"/>
    <w:rsid w:val="427093F6"/>
    <w:rsid w:val="4276AA57"/>
    <w:rsid w:val="427C80D4"/>
    <w:rsid w:val="428108FC"/>
    <w:rsid w:val="429CA590"/>
    <w:rsid w:val="42A48024"/>
    <w:rsid w:val="42A77C0B"/>
    <w:rsid w:val="42AE39F5"/>
    <w:rsid w:val="42C4F839"/>
    <w:rsid w:val="42DC9093"/>
    <w:rsid w:val="42DCA46A"/>
    <w:rsid w:val="42E39902"/>
    <w:rsid w:val="42E59656"/>
    <w:rsid w:val="42F97095"/>
    <w:rsid w:val="42FD302E"/>
    <w:rsid w:val="4302DDF9"/>
    <w:rsid w:val="4315D0D7"/>
    <w:rsid w:val="4318A4C4"/>
    <w:rsid w:val="431A792C"/>
    <w:rsid w:val="431D1A1C"/>
    <w:rsid w:val="43290C0B"/>
    <w:rsid w:val="4338FDFE"/>
    <w:rsid w:val="433E1198"/>
    <w:rsid w:val="433F3E51"/>
    <w:rsid w:val="4350906D"/>
    <w:rsid w:val="4361D156"/>
    <w:rsid w:val="4369C139"/>
    <w:rsid w:val="436EA9BA"/>
    <w:rsid w:val="4379EB36"/>
    <w:rsid w:val="437FD5DF"/>
    <w:rsid w:val="438AD515"/>
    <w:rsid w:val="439C671F"/>
    <w:rsid w:val="439D3766"/>
    <w:rsid w:val="43B9560E"/>
    <w:rsid w:val="43BB3ECB"/>
    <w:rsid w:val="43BDDE45"/>
    <w:rsid w:val="43CE633F"/>
    <w:rsid w:val="43E891B9"/>
    <w:rsid w:val="43FC51AC"/>
    <w:rsid w:val="440B3B5B"/>
    <w:rsid w:val="440D73F8"/>
    <w:rsid w:val="441FB34D"/>
    <w:rsid w:val="44329B87"/>
    <w:rsid w:val="445D7D18"/>
    <w:rsid w:val="4461FB37"/>
    <w:rsid w:val="44640352"/>
    <w:rsid w:val="44688743"/>
    <w:rsid w:val="446C4371"/>
    <w:rsid w:val="446D5224"/>
    <w:rsid w:val="4470D728"/>
    <w:rsid w:val="447889CA"/>
    <w:rsid w:val="44911309"/>
    <w:rsid w:val="44A7ECDD"/>
    <w:rsid w:val="44A89DA2"/>
    <w:rsid w:val="44AD9E91"/>
    <w:rsid w:val="44B17B82"/>
    <w:rsid w:val="44C29964"/>
    <w:rsid w:val="44C8E049"/>
    <w:rsid w:val="44D6A481"/>
    <w:rsid w:val="44D6B239"/>
    <w:rsid w:val="44D73540"/>
    <w:rsid w:val="44ECEDFC"/>
    <w:rsid w:val="44F8CFEA"/>
    <w:rsid w:val="44F97CC0"/>
    <w:rsid w:val="44FAF626"/>
    <w:rsid w:val="4503C084"/>
    <w:rsid w:val="45123C6D"/>
    <w:rsid w:val="45132F70"/>
    <w:rsid w:val="4526A576"/>
    <w:rsid w:val="452A5F77"/>
    <w:rsid w:val="453AF543"/>
    <w:rsid w:val="4546B792"/>
    <w:rsid w:val="4557E7D1"/>
    <w:rsid w:val="455E0A08"/>
    <w:rsid w:val="4568F221"/>
    <w:rsid w:val="4576BB20"/>
    <w:rsid w:val="4582871C"/>
    <w:rsid w:val="45835BFD"/>
    <w:rsid w:val="458AA76B"/>
    <w:rsid w:val="458B978D"/>
    <w:rsid w:val="4595DE8D"/>
    <w:rsid w:val="45A0A235"/>
    <w:rsid w:val="45A620B0"/>
    <w:rsid w:val="45AE4B19"/>
    <w:rsid w:val="45C7FEC6"/>
    <w:rsid w:val="45D37D7C"/>
    <w:rsid w:val="45DC3E8B"/>
    <w:rsid w:val="45E4F49B"/>
    <w:rsid w:val="45EAF871"/>
    <w:rsid w:val="45F7E7AE"/>
    <w:rsid w:val="4605206B"/>
    <w:rsid w:val="4610505A"/>
    <w:rsid w:val="46294960"/>
    <w:rsid w:val="462D8288"/>
    <w:rsid w:val="46394FAF"/>
    <w:rsid w:val="463C36C2"/>
    <w:rsid w:val="46529CBC"/>
    <w:rsid w:val="465E69C5"/>
    <w:rsid w:val="46670A01"/>
    <w:rsid w:val="4667427B"/>
    <w:rsid w:val="4676DF13"/>
    <w:rsid w:val="4686EB12"/>
    <w:rsid w:val="4690486D"/>
    <w:rsid w:val="4695A615"/>
    <w:rsid w:val="46AE0CCE"/>
    <w:rsid w:val="46BA9DF6"/>
    <w:rsid w:val="46BC798E"/>
    <w:rsid w:val="46CB54DF"/>
    <w:rsid w:val="46D83A93"/>
    <w:rsid w:val="46DDE5E4"/>
    <w:rsid w:val="46DEB354"/>
    <w:rsid w:val="46DEBB64"/>
    <w:rsid w:val="46DF6621"/>
    <w:rsid w:val="46EBD173"/>
    <w:rsid w:val="46F1C3F9"/>
    <w:rsid w:val="47083C22"/>
    <w:rsid w:val="470DF187"/>
    <w:rsid w:val="471093CE"/>
    <w:rsid w:val="4716F8E2"/>
    <w:rsid w:val="471BDC9B"/>
    <w:rsid w:val="47270CC5"/>
    <w:rsid w:val="47441C20"/>
    <w:rsid w:val="4745444F"/>
    <w:rsid w:val="474EBA1F"/>
    <w:rsid w:val="4785084B"/>
    <w:rsid w:val="478BCA89"/>
    <w:rsid w:val="479D957F"/>
    <w:rsid w:val="47A02507"/>
    <w:rsid w:val="47A5DD6C"/>
    <w:rsid w:val="47ABDD1A"/>
    <w:rsid w:val="47B70A25"/>
    <w:rsid w:val="47B84E48"/>
    <w:rsid w:val="47C9B681"/>
    <w:rsid w:val="47CD9349"/>
    <w:rsid w:val="47D0199D"/>
    <w:rsid w:val="47D0A151"/>
    <w:rsid w:val="47D15A5B"/>
    <w:rsid w:val="47D80723"/>
    <w:rsid w:val="47DB4675"/>
    <w:rsid w:val="47E8C639"/>
    <w:rsid w:val="47F0187A"/>
    <w:rsid w:val="481A94E2"/>
    <w:rsid w:val="4821601B"/>
    <w:rsid w:val="48265407"/>
    <w:rsid w:val="482755BB"/>
    <w:rsid w:val="482F0A32"/>
    <w:rsid w:val="482FD87D"/>
    <w:rsid w:val="48566E57"/>
    <w:rsid w:val="48584D72"/>
    <w:rsid w:val="485957C3"/>
    <w:rsid w:val="485B1BAB"/>
    <w:rsid w:val="485B395F"/>
    <w:rsid w:val="4866288B"/>
    <w:rsid w:val="486D81FA"/>
    <w:rsid w:val="486DB030"/>
    <w:rsid w:val="48758791"/>
    <w:rsid w:val="4879B645"/>
    <w:rsid w:val="487F3C03"/>
    <w:rsid w:val="4886ED9C"/>
    <w:rsid w:val="48927428"/>
    <w:rsid w:val="48A52545"/>
    <w:rsid w:val="48BAFCBF"/>
    <w:rsid w:val="48C3DC90"/>
    <w:rsid w:val="48CFC36E"/>
    <w:rsid w:val="48CFD20B"/>
    <w:rsid w:val="48D1BA2D"/>
    <w:rsid w:val="48D3AB9F"/>
    <w:rsid w:val="48DC2193"/>
    <w:rsid w:val="48DEAC7E"/>
    <w:rsid w:val="48E5EBDB"/>
    <w:rsid w:val="49026D39"/>
    <w:rsid w:val="490B1688"/>
    <w:rsid w:val="49259E69"/>
    <w:rsid w:val="492E6418"/>
    <w:rsid w:val="49377475"/>
    <w:rsid w:val="4937FBFD"/>
    <w:rsid w:val="49394D82"/>
    <w:rsid w:val="493CC12D"/>
    <w:rsid w:val="4941503B"/>
    <w:rsid w:val="4941ADCD"/>
    <w:rsid w:val="4947F11C"/>
    <w:rsid w:val="494BD217"/>
    <w:rsid w:val="49524FE3"/>
    <w:rsid w:val="495A4F97"/>
    <w:rsid w:val="496D2ABC"/>
    <w:rsid w:val="4971165F"/>
    <w:rsid w:val="49715DC7"/>
    <w:rsid w:val="4973D784"/>
    <w:rsid w:val="49819BD0"/>
    <w:rsid w:val="49912E92"/>
    <w:rsid w:val="49B20378"/>
    <w:rsid w:val="49BE1061"/>
    <w:rsid w:val="49CE2AB7"/>
    <w:rsid w:val="49D4AA17"/>
    <w:rsid w:val="49D570D5"/>
    <w:rsid w:val="49E1552E"/>
    <w:rsid w:val="49E1BB7D"/>
    <w:rsid w:val="49E5AD90"/>
    <w:rsid w:val="49F385BC"/>
    <w:rsid w:val="49FD33C9"/>
    <w:rsid w:val="4A0F6F35"/>
    <w:rsid w:val="4A1586A6"/>
    <w:rsid w:val="4A16DE00"/>
    <w:rsid w:val="4A18D7CC"/>
    <w:rsid w:val="4A1AA63E"/>
    <w:rsid w:val="4A1B0C64"/>
    <w:rsid w:val="4A24F158"/>
    <w:rsid w:val="4A2BD2D3"/>
    <w:rsid w:val="4A2C5D64"/>
    <w:rsid w:val="4A3FDCE4"/>
    <w:rsid w:val="4A519B98"/>
    <w:rsid w:val="4A533B6A"/>
    <w:rsid w:val="4A5C591B"/>
    <w:rsid w:val="4A6545E3"/>
    <w:rsid w:val="4A69C111"/>
    <w:rsid w:val="4A6B93CF"/>
    <w:rsid w:val="4A6CE72C"/>
    <w:rsid w:val="4A7467CF"/>
    <w:rsid w:val="4A7A7CDF"/>
    <w:rsid w:val="4A8C3678"/>
    <w:rsid w:val="4A942091"/>
    <w:rsid w:val="4A9AC2BE"/>
    <w:rsid w:val="4AC36B4B"/>
    <w:rsid w:val="4ACA3479"/>
    <w:rsid w:val="4AEEA6CD"/>
    <w:rsid w:val="4AEEAAE7"/>
    <w:rsid w:val="4AF8C8BE"/>
    <w:rsid w:val="4AFBE175"/>
    <w:rsid w:val="4B083560"/>
    <w:rsid w:val="4B08FB1D"/>
    <w:rsid w:val="4B0F0443"/>
    <w:rsid w:val="4B0F7CBE"/>
    <w:rsid w:val="4B282C01"/>
    <w:rsid w:val="4B4EFE3B"/>
    <w:rsid w:val="4B5D0F37"/>
    <w:rsid w:val="4B65D413"/>
    <w:rsid w:val="4B70545D"/>
    <w:rsid w:val="4B79C4BB"/>
    <w:rsid w:val="4B8A35E4"/>
    <w:rsid w:val="4B99042A"/>
    <w:rsid w:val="4B9EB0F9"/>
    <w:rsid w:val="4BA4F748"/>
    <w:rsid w:val="4BAA2296"/>
    <w:rsid w:val="4BC5DACA"/>
    <w:rsid w:val="4BD146CB"/>
    <w:rsid w:val="4BD15105"/>
    <w:rsid w:val="4BD9E389"/>
    <w:rsid w:val="4BF4C807"/>
    <w:rsid w:val="4C0C9747"/>
    <w:rsid w:val="4C168952"/>
    <w:rsid w:val="4C221E33"/>
    <w:rsid w:val="4C3500FE"/>
    <w:rsid w:val="4C45EE65"/>
    <w:rsid w:val="4C476252"/>
    <w:rsid w:val="4C5253B1"/>
    <w:rsid w:val="4C527AD2"/>
    <w:rsid w:val="4C542B01"/>
    <w:rsid w:val="4C8EE7A0"/>
    <w:rsid w:val="4C94B756"/>
    <w:rsid w:val="4C9811B9"/>
    <w:rsid w:val="4CA69802"/>
    <w:rsid w:val="4CADCA75"/>
    <w:rsid w:val="4CB3A719"/>
    <w:rsid w:val="4CB40FBA"/>
    <w:rsid w:val="4CBE6951"/>
    <w:rsid w:val="4CBE7F64"/>
    <w:rsid w:val="4CC3FC62"/>
    <w:rsid w:val="4CD598CF"/>
    <w:rsid w:val="4CDD2FD7"/>
    <w:rsid w:val="4CEF0E3B"/>
    <w:rsid w:val="4CF8DF98"/>
    <w:rsid w:val="4CFA2913"/>
    <w:rsid w:val="4D00B8FD"/>
    <w:rsid w:val="4D04D0FA"/>
    <w:rsid w:val="4D1F5E3A"/>
    <w:rsid w:val="4D31B75B"/>
    <w:rsid w:val="4D36FE8D"/>
    <w:rsid w:val="4D5A9AAC"/>
    <w:rsid w:val="4D60FB4E"/>
    <w:rsid w:val="4D6C9ED1"/>
    <w:rsid w:val="4D6CAE11"/>
    <w:rsid w:val="4D6EC4A4"/>
    <w:rsid w:val="4D714427"/>
    <w:rsid w:val="4D7CF12C"/>
    <w:rsid w:val="4D7D59AD"/>
    <w:rsid w:val="4D8B5F9B"/>
    <w:rsid w:val="4D970B08"/>
    <w:rsid w:val="4D993370"/>
    <w:rsid w:val="4D9EED81"/>
    <w:rsid w:val="4DA37ACB"/>
    <w:rsid w:val="4DA4198F"/>
    <w:rsid w:val="4DA610A8"/>
    <w:rsid w:val="4DACC043"/>
    <w:rsid w:val="4DAD1C11"/>
    <w:rsid w:val="4DC084D1"/>
    <w:rsid w:val="4DCA2D86"/>
    <w:rsid w:val="4DCF1DC4"/>
    <w:rsid w:val="4DF3F1D8"/>
    <w:rsid w:val="4DF44DCE"/>
    <w:rsid w:val="4E02F993"/>
    <w:rsid w:val="4E0E765A"/>
    <w:rsid w:val="4E0EC7A2"/>
    <w:rsid w:val="4E16E45D"/>
    <w:rsid w:val="4E1D47F3"/>
    <w:rsid w:val="4E1D8E19"/>
    <w:rsid w:val="4E2049C7"/>
    <w:rsid w:val="4E34EF7E"/>
    <w:rsid w:val="4E3DBDEC"/>
    <w:rsid w:val="4E4631A1"/>
    <w:rsid w:val="4E4ECF23"/>
    <w:rsid w:val="4E4F5C9D"/>
    <w:rsid w:val="4E50CA2D"/>
    <w:rsid w:val="4E5A4FC5"/>
    <w:rsid w:val="4E60A34A"/>
    <w:rsid w:val="4E686F8F"/>
    <w:rsid w:val="4E830735"/>
    <w:rsid w:val="4EB72B1C"/>
    <w:rsid w:val="4EDCC37E"/>
    <w:rsid w:val="4EDEB05B"/>
    <w:rsid w:val="4EFCDC6B"/>
    <w:rsid w:val="4F02DF34"/>
    <w:rsid w:val="4F0B63FA"/>
    <w:rsid w:val="4F16928B"/>
    <w:rsid w:val="4F45E1DA"/>
    <w:rsid w:val="4F65D954"/>
    <w:rsid w:val="4F9CD226"/>
    <w:rsid w:val="4F9CFB79"/>
    <w:rsid w:val="4F9EFD35"/>
    <w:rsid w:val="4FAA9803"/>
    <w:rsid w:val="4FAEA37F"/>
    <w:rsid w:val="4FB0238C"/>
    <w:rsid w:val="4FB32472"/>
    <w:rsid w:val="4FB732A0"/>
    <w:rsid w:val="4FBF02E2"/>
    <w:rsid w:val="4FC343E3"/>
    <w:rsid w:val="4FC9706D"/>
    <w:rsid w:val="4FCBF8E4"/>
    <w:rsid w:val="4FCDAE9E"/>
    <w:rsid w:val="4FCF4B7A"/>
    <w:rsid w:val="4FDB2B82"/>
    <w:rsid w:val="4FE20202"/>
    <w:rsid w:val="4FE28177"/>
    <w:rsid w:val="4FEA9F84"/>
    <w:rsid w:val="4FEC1419"/>
    <w:rsid w:val="4FF320E5"/>
    <w:rsid w:val="4FFAB6FE"/>
    <w:rsid w:val="50045E54"/>
    <w:rsid w:val="500D3991"/>
    <w:rsid w:val="502FC7F5"/>
    <w:rsid w:val="5030E2DD"/>
    <w:rsid w:val="5032B5D4"/>
    <w:rsid w:val="5040C5E9"/>
    <w:rsid w:val="5043EB9B"/>
    <w:rsid w:val="5059729D"/>
    <w:rsid w:val="5072C607"/>
    <w:rsid w:val="507D7464"/>
    <w:rsid w:val="507EB0B9"/>
    <w:rsid w:val="50AF1950"/>
    <w:rsid w:val="50B991BB"/>
    <w:rsid w:val="50C8AE7A"/>
    <w:rsid w:val="50CFF36D"/>
    <w:rsid w:val="50E3A953"/>
    <w:rsid w:val="50FF7826"/>
    <w:rsid w:val="5101C7B6"/>
    <w:rsid w:val="5131627D"/>
    <w:rsid w:val="513FAA6F"/>
    <w:rsid w:val="5143F7D6"/>
    <w:rsid w:val="514EF4D3"/>
    <w:rsid w:val="515AF087"/>
    <w:rsid w:val="515EAAC8"/>
    <w:rsid w:val="5162B356"/>
    <w:rsid w:val="5176A504"/>
    <w:rsid w:val="51783CA1"/>
    <w:rsid w:val="517EE969"/>
    <w:rsid w:val="518E5D6B"/>
    <w:rsid w:val="51AE6441"/>
    <w:rsid w:val="51B166C9"/>
    <w:rsid w:val="51BAA7F7"/>
    <w:rsid w:val="51D587BC"/>
    <w:rsid w:val="51D85720"/>
    <w:rsid w:val="51E911FA"/>
    <w:rsid w:val="5209B03E"/>
    <w:rsid w:val="520DF27D"/>
    <w:rsid w:val="521D20F0"/>
    <w:rsid w:val="52226EA0"/>
    <w:rsid w:val="522F6CAC"/>
    <w:rsid w:val="523F54AB"/>
    <w:rsid w:val="5251CDB5"/>
    <w:rsid w:val="5261CF19"/>
    <w:rsid w:val="526BC3CE"/>
    <w:rsid w:val="527269B1"/>
    <w:rsid w:val="5275DC41"/>
    <w:rsid w:val="527729B3"/>
    <w:rsid w:val="52803166"/>
    <w:rsid w:val="52822E81"/>
    <w:rsid w:val="5286B202"/>
    <w:rsid w:val="529ACFB9"/>
    <w:rsid w:val="52AA48CD"/>
    <w:rsid w:val="52B4B7BB"/>
    <w:rsid w:val="52E30989"/>
    <w:rsid w:val="52E64441"/>
    <w:rsid w:val="52E8F90B"/>
    <w:rsid w:val="52EB90F9"/>
    <w:rsid w:val="52F0459E"/>
    <w:rsid w:val="52F2B45D"/>
    <w:rsid w:val="52F4868E"/>
    <w:rsid w:val="52F6C0E8"/>
    <w:rsid w:val="5307C95E"/>
    <w:rsid w:val="53082AE3"/>
    <w:rsid w:val="53140D02"/>
    <w:rsid w:val="53224046"/>
    <w:rsid w:val="5351404A"/>
    <w:rsid w:val="53567858"/>
    <w:rsid w:val="5361CBFF"/>
    <w:rsid w:val="53674F61"/>
    <w:rsid w:val="5371581D"/>
    <w:rsid w:val="537E23EB"/>
    <w:rsid w:val="5383801C"/>
    <w:rsid w:val="539122C1"/>
    <w:rsid w:val="53A045B7"/>
    <w:rsid w:val="53A9F163"/>
    <w:rsid w:val="53B79828"/>
    <w:rsid w:val="53BE329A"/>
    <w:rsid w:val="53C24023"/>
    <w:rsid w:val="53C9DC30"/>
    <w:rsid w:val="53D2D4D8"/>
    <w:rsid w:val="53D35729"/>
    <w:rsid w:val="53D55B08"/>
    <w:rsid w:val="53DA3AE8"/>
    <w:rsid w:val="53E43BDE"/>
    <w:rsid w:val="53E81C3B"/>
    <w:rsid w:val="53FA3A40"/>
    <w:rsid w:val="53FC981B"/>
    <w:rsid w:val="541C01C7"/>
    <w:rsid w:val="541E9221"/>
    <w:rsid w:val="542829FC"/>
    <w:rsid w:val="542DF65B"/>
    <w:rsid w:val="542FFCB1"/>
    <w:rsid w:val="543E38F4"/>
    <w:rsid w:val="5444052D"/>
    <w:rsid w:val="5445A153"/>
    <w:rsid w:val="544FC877"/>
    <w:rsid w:val="5459B870"/>
    <w:rsid w:val="545C2965"/>
    <w:rsid w:val="545FDC38"/>
    <w:rsid w:val="54665C99"/>
    <w:rsid w:val="54772349"/>
    <w:rsid w:val="54848167"/>
    <w:rsid w:val="548A4C3E"/>
    <w:rsid w:val="5496331A"/>
    <w:rsid w:val="5497D0F2"/>
    <w:rsid w:val="54998F5E"/>
    <w:rsid w:val="549BC0E8"/>
    <w:rsid w:val="54C70F25"/>
    <w:rsid w:val="54CFBAEF"/>
    <w:rsid w:val="54E05B87"/>
    <w:rsid w:val="54E89231"/>
    <w:rsid w:val="54E9C940"/>
    <w:rsid w:val="54ED10AB"/>
    <w:rsid w:val="54F248B9"/>
    <w:rsid w:val="54FBF9BB"/>
    <w:rsid w:val="55053AF8"/>
    <w:rsid w:val="550B3BC6"/>
    <w:rsid w:val="551BAF09"/>
    <w:rsid w:val="553DA18B"/>
    <w:rsid w:val="553FF402"/>
    <w:rsid w:val="554C8C18"/>
    <w:rsid w:val="554CD5AD"/>
    <w:rsid w:val="5554280E"/>
    <w:rsid w:val="55570D46"/>
    <w:rsid w:val="55591BED"/>
    <w:rsid w:val="555E1F25"/>
    <w:rsid w:val="5564FAB8"/>
    <w:rsid w:val="556E25FC"/>
    <w:rsid w:val="5570C98E"/>
    <w:rsid w:val="557F58AD"/>
    <w:rsid w:val="5582B3A5"/>
    <w:rsid w:val="5587A81A"/>
    <w:rsid w:val="55AA0A73"/>
    <w:rsid w:val="55C327C3"/>
    <w:rsid w:val="55DA2FA9"/>
    <w:rsid w:val="55E3F8FA"/>
    <w:rsid w:val="55EA7D75"/>
    <w:rsid w:val="55EA9301"/>
    <w:rsid w:val="55F0C751"/>
    <w:rsid w:val="5605019B"/>
    <w:rsid w:val="561AAA4B"/>
    <w:rsid w:val="562734F5"/>
    <w:rsid w:val="5627C0C9"/>
    <w:rsid w:val="56283EA9"/>
    <w:rsid w:val="562AAD5D"/>
    <w:rsid w:val="562B5EEA"/>
    <w:rsid w:val="563F9C81"/>
    <w:rsid w:val="564DBFFE"/>
    <w:rsid w:val="5656ADF3"/>
    <w:rsid w:val="565AA447"/>
    <w:rsid w:val="566564FB"/>
    <w:rsid w:val="5666073D"/>
    <w:rsid w:val="567ECC21"/>
    <w:rsid w:val="5685DEF1"/>
    <w:rsid w:val="56945D05"/>
    <w:rsid w:val="5694A969"/>
    <w:rsid w:val="56952D54"/>
    <w:rsid w:val="56977AB7"/>
    <w:rsid w:val="569D8382"/>
    <w:rsid w:val="569F0979"/>
    <w:rsid w:val="56A44707"/>
    <w:rsid w:val="56A8F8DF"/>
    <w:rsid w:val="56AEDB4C"/>
    <w:rsid w:val="57098990"/>
    <w:rsid w:val="570B265C"/>
    <w:rsid w:val="571A17E6"/>
    <w:rsid w:val="572BDAA9"/>
    <w:rsid w:val="5731D378"/>
    <w:rsid w:val="5737CCDD"/>
    <w:rsid w:val="575CEEBD"/>
    <w:rsid w:val="576118E2"/>
    <w:rsid w:val="57657561"/>
    <w:rsid w:val="57684FA7"/>
    <w:rsid w:val="5769A3E5"/>
    <w:rsid w:val="577EF0DA"/>
    <w:rsid w:val="5785FF67"/>
    <w:rsid w:val="5786C64A"/>
    <w:rsid w:val="578F5C9E"/>
    <w:rsid w:val="57968966"/>
    <w:rsid w:val="579E3A1C"/>
    <w:rsid w:val="57B0C60D"/>
    <w:rsid w:val="57B33437"/>
    <w:rsid w:val="57B9B564"/>
    <w:rsid w:val="57C26FF9"/>
    <w:rsid w:val="57CCE80F"/>
    <w:rsid w:val="57DE5722"/>
    <w:rsid w:val="57E39DED"/>
    <w:rsid w:val="57EE42D6"/>
    <w:rsid w:val="57F42E02"/>
    <w:rsid w:val="57F6C261"/>
    <w:rsid w:val="57F925C9"/>
    <w:rsid w:val="57FEAFE7"/>
    <w:rsid w:val="58184B76"/>
    <w:rsid w:val="581BEEFB"/>
    <w:rsid w:val="582C5693"/>
    <w:rsid w:val="58350EE0"/>
    <w:rsid w:val="58385430"/>
    <w:rsid w:val="583AD9DA"/>
    <w:rsid w:val="58430E7B"/>
    <w:rsid w:val="5844C940"/>
    <w:rsid w:val="584F97F5"/>
    <w:rsid w:val="5850A838"/>
    <w:rsid w:val="58598DF5"/>
    <w:rsid w:val="5874F9DA"/>
    <w:rsid w:val="588A5A59"/>
    <w:rsid w:val="5891F9C7"/>
    <w:rsid w:val="5893FE95"/>
    <w:rsid w:val="58AF6697"/>
    <w:rsid w:val="58B5C3D7"/>
    <w:rsid w:val="58BAA607"/>
    <w:rsid w:val="58D39D3E"/>
    <w:rsid w:val="58DB6ED9"/>
    <w:rsid w:val="592805D1"/>
    <w:rsid w:val="59307B2D"/>
    <w:rsid w:val="59335704"/>
    <w:rsid w:val="593BE09B"/>
    <w:rsid w:val="5946A622"/>
    <w:rsid w:val="594B8B1D"/>
    <w:rsid w:val="5951404D"/>
    <w:rsid w:val="5966026C"/>
    <w:rsid w:val="59727B62"/>
    <w:rsid w:val="59790E1F"/>
    <w:rsid w:val="597D8591"/>
    <w:rsid w:val="597E7138"/>
    <w:rsid w:val="597F6E4E"/>
    <w:rsid w:val="5986EE28"/>
    <w:rsid w:val="599082DD"/>
    <w:rsid w:val="599945DB"/>
    <w:rsid w:val="59CF6ADE"/>
    <w:rsid w:val="59D4F445"/>
    <w:rsid w:val="59F6412B"/>
    <w:rsid w:val="5A09CC03"/>
    <w:rsid w:val="5A0AAB23"/>
    <w:rsid w:val="5A0EBDA3"/>
    <w:rsid w:val="5A11C65A"/>
    <w:rsid w:val="5A1C8F11"/>
    <w:rsid w:val="5A4B3119"/>
    <w:rsid w:val="5A4CBF03"/>
    <w:rsid w:val="5A571782"/>
    <w:rsid w:val="5A586318"/>
    <w:rsid w:val="5A5BE92F"/>
    <w:rsid w:val="5A5D3012"/>
    <w:rsid w:val="5A6ACDD5"/>
    <w:rsid w:val="5A786FCD"/>
    <w:rsid w:val="5A7D7B96"/>
    <w:rsid w:val="5A91745C"/>
    <w:rsid w:val="5A919C3F"/>
    <w:rsid w:val="5A91F6D7"/>
    <w:rsid w:val="5A98A6DC"/>
    <w:rsid w:val="5A9F3E35"/>
    <w:rsid w:val="5AC3D632"/>
    <w:rsid w:val="5AC6729C"/>
    <w:rsid w:val="5ACE32CA"/>
    <w:rsid w:val="5AD625AE"/>
    <w:rsid w:val="5AE13927"/>
    <w:rsid w:val="5AE552D5"/>
    <w:rsid w:val="5AE77158"/>
    <w:rsid w:val="5AF5D719"/>
    <w:rsid w:val="5B1AC860"/>
    <w:rsid w:val="5B1E9877"/>
    <w:rsid w:val="5B2A679D"/>
    <w:rsid w:val="5B3650A9"/>
    <w:rsid w:val="5B3BC8A9"/>
    <w:rsid w:val="5B3E4FCB"/>
    <w:rsid w:val="5B43F8E2"/>
    <w:rsid w:val="5B4A7B38"/>
    <w:rsid w:val="5B539539"/>
    <w:rsid w:val="5B573E80"/>
    <w:rsid w:val="5B66866C"/>
    <w:rsid w:val="5B7AC481"/>
    <w:rsid w:val="5B7DCD6C"/>
    <w:rsid w:val="5B88D1BA"/>
    <w:rsid w:val="5BB06F9B"/>
    <w:rsid w:val="5BCC4FC2"/>
    <w:rsid w:val="5BCD52E1"/>
    <w:rsid w:val="5BCDB037"/>
    <w:rsid w:val="5BD6AA66"/>
    <w:rsid w:val="5BDEBAB1"/>
    <w:rsid w:val="5BF1B20B"/>
    <w:rsid w:val="5BF8B04C"/>
    <w:rsid w:val="5BF9B97D"/>
    <w:rsid w:val="5C10EFBE"/>
    <w:rsid w:val="5C115E71"/>
    <w:rsid w:val="5C19A6E1"/>
    <w:rsid w:val="5C2A86CE"/>
    <w:rsid w:val="5C3A2102"/>
    <w:rsid w:val="5C3FD936"/>
    <w:rsid w:val="5C41B1FF"/>
    <w:rsid w:val="5C58B474"/>
    <w:rsid w:val="5C7D0988"/>
    <w:rsid w:val="5C7E9A52"/>
    <w:rsid w:val="5C84162A"/>
    <w:rsid w:val="5C8AEC92"/>
    <w:rsid w:val="5C8D7496"/>
    <w:rsid w:val="5C9E382F"/>
    <w:rsid w:val="5CB94636"/>
    <w:rsid w:val="5CBB6A93"/>
    <w:rsid w:val="5CC57480"/>
    <w:rsid w:val="5CEB7009"/>
    <w:rsid w:val="5CF7BE6F"/>
    <w:rsid w:val="5CF9A058"/>
    <w:rsid w:val="5D0BABB0"/>
    <w:rsid w:val="5D13C273"/>
    <w:rsid w:val="5D18A9A2"/>
    <w:rsid w:val="5D324A8D"/>
    <w:rsid w:val="5D38BF10"/>
    <w:rsid w:val="5D4E9D4F"/>
    <w:rsid w:val="5D6B92F1"/>
    <w:rsid w:val="5D6C1B58"/>
    <w:rsid w:val="5D743139"/>
    <w:rsid w:val="5D8365A9"/>
    <w:rsid w:val="5D894541"/>
    <w:rsid w:val="5DA09515"/>
    <w:rsid w:val="5DAF18D7"/>
    <w:rsid w:val="5DBDA301"/>
    <w:rsid w:val="5DBF1E6A"/>
    <w:rsid w:val="5DCFF90D"/>
    <w:rsid w:val="5DD0A718"/>
    <w:rsid w:val="5DD6DEF7"/>
    <w:rsid w:val="5DDFB449"/>
    <w:rsid w:val="5DE35E22"/>
    <w:rsid w:val="5DFE62D8"/>
    <w:rsid w:val="5E00B0D5"/>
    <w:rsid w:val="5E075AD9"/>
    <w:rsid w:val="5E0DC670"/>
    <w:rsid w:val="5E254559"/>
    <w:rsid w:val="5E2E07B0"/>
    <w:rsid w:val="5E318609"/>
    <w:rsid w:val="5E34D14C"/>
    <w:rsid w:val="5E3598B2"/>
    <w:rsid w:val="5E383A77"/>
    <w:rsid w:val="5E387B0A"/>
    <w:rsid w:val="5E3D7D60"/>
    <w:rsid w:val="5E4B9A09"/>
    <w:rsid w:val="5E5D6C71"/>
    <w:rsid w:val="5E605FE6"/>
    <w:rsid w:val="5E6603E5"/>
    <w:rsid w:val="5E74B6CB"/>
    <w:rsid w:val="5E76FF54"/>
    <w:rsid w:val="5E8562E2"/>
    <w:rsid w:val="5EA24D6F"/>
    <w:rsid w:val="5EADE81F"/>
    <w:rsid w:val="5EB2C149"/>
    <w:rsid w:val="5EB62E59"/>
    <w:rsid w:val="5ED20882"/>
    <w:rsid w:val="5F018603"/>
    <w:rsid w:val="5F102A70"/>
    <w:rsid w:val="5F127BB2"/>
    <w:rsid w:val="5F1D21C8"/>
    <w:rsid w:val="5F1F23E1"/>
    <w:rsid w:val="5F1F98C0"/>
    <w:rsid w:val="5F32762B"/>
    <w:rsid w:val="5F48FF33"/>
    <w:rsid w:val="5F63A192"/>
    <w:rsid w:val="5F6D3F55"/>
    <w:rsid w:val="5F772862"/>
    <w:rsid w:val="5F77F509"/>
    <w:rsid w:val="5F86B7D4"/>
    <w:rsid w:val="5F8EF0C8"/>
    <w:rsid w:val="5FA7C079"/>
    <w:rsid w:val="5FA91113"/>
    <w:rsid w:val="5FB81EFE"/>
    <w:rsid w:val="5FCE2949"/>
    <w:rsid w:val="5FD924EB"/>
    <w:rsid w:val="5FE2C129"/>
    <w:rsid w:val="5FE79938"/>
    <w:rsid w:val="5FEF8877"/>
    <w:rsid w:val="5FF1D700"/>
    <w:rsid w:val="5FF268D2"/>
    <w:rsid w:val="5FF37768"/>
    <w:rsid w:val="6001D446"/>
    <w:rsid w:val="60139C86"/>
    <w:rsid w:val="60235D5B"/>
    <w:rsid w:val="60415633"/>
    <w:rsid w:val="604B858F"/>
    <w:rsid w:val="606588C1"/>
    <w:rsid w:val="6066F518"/>
    <w:rsid w:val="606DDB6E"/>
    <w:rsid w:val="6076E28E"/>
    <w:rsid w:val="60789E20"/>
    <w:rsid w:val="607E4D7D"/>
    <w:rsid w:val="608F8854"/>
    <w:rsid w:val="60ABD1FB"/>
    <w:rsid w:val="60B63190"/>
    <w:rsid w:val="60CE1020"/>
    <w:rsid w:val="60EB1FFB"/>
    <w:rsid w:val="60ECBD1A"/>
    <w:rsid w:val="60FD547B"/>
    <w:rsid w:val="6134C92E"/>
    <w:rsid w:val="613DC652"/>
    <w:rsid w:val="61507AAB"/>
    <w:rsid w:val="6160130D"/>
    <w:rsid w:val="61660184"/>
    <w:rsid w:val="61660C50"/>
    <w:rsid w:val="616E664A"/>
    <w:rsid w:val="61711451"/>
    <w:rsid w:val="6175FBD9"/>
    <w:rsid w:val="617FA4A2"/>
    <w:rsid w:val="61815EC4"/>
    <w:rsid w:val="61833ACB"/>
    <w:rsid w:val="61947519"/>
    <w:rsid w:val="619DA4A7"/>
    <w:rsid w:val="619E5749"/>
    <w:rsid w:val="61A48135"/>
    <w:rsid w:val="61C7529E"/>
    <w:rsid w:val="61E3FCD0"/>
    <w:rsid w:val="61E54A42"/>
    <w:rsid w:val="620AA369"/>
    <w:rsid w:val="621BA04C"/>
    <w:rsid w:val="62407EF8"/>
    <w:rsid w:val="6244C768"/>
    <w:rsid w:val="6258468A"/>
    <w:rsid w:val="62682EF2"/>
    <w:rsid w:val="626FEC7C"/>
    <w:rsid w:val="62771CEE"/>
    <w:rsid w:val="62882BE5"/>
    <w:rsid w:val="6288EF57"/>
    <w:rsid w:val="628F4763"/>
    <w:rsid w:val="62AFD820"/>
    <w:rsid w:val="62BC21E3"/>
    <w:rsid w:val="62C6918A"/>
    <w:rsid w:val="62D96B2B"/>
    <w:rsid w:val="62DE5026"/>
    <w:rsid w:val="6310C5AD"/>
    <w:rsid w:val="6312E089"/>
    <w:rsid w:val="632D58E0"/>
    <w:rsid w:val="634ACDAA"/>
    <w:rsid w:val="634DD796"/>
    <w:rsid w:val="638445BD"/>
    <w:rsid w:val="6387EB26"/>
    <w:rsid w:val="638B24D1"/>
    <w:rsid w:val="63A31F4B"/>
    <w:rsid w:val="63A99E9E"/>
    <w:rsid w:val="63AA95D2"/>
    <w:rsid w:val="63C84763"/>
    <w:rsid w:val="63CF6AE2"/>
    <w:rsid w:val="63DF62FA"/>
    <w:rsid w:val="640509D9"/>
    <w:rsid w:val="6409C4C6"/>
    <w:rsid w:val="640A9F9C"/>
    <w:rsid w:val="640B782A"/>
    <w:rsid w:val="640E63F3"/>
    <w:rsid w:val="64184B90"/>
    <w:rsid w:val="641F8D72"/>
    <w:rsid w:val="64243965"/>
    <w:rsid w:val="64245DDC"/>
    <w:rsid w:val="6428CBCE"/>
    <w:rsid w:val="6429AD4A"/>
    <w:rsid w:val="64497887"/>
    <w:rsid w:val="6452D560"/>
    <w:rsid w:val="6459289E"/>
    <w:rsid w:val="645C4CDB"/>
    <w:rsid w:val="648B9021"/>
    <w:rsid w:val="648F280F"/>
    <w:rsid w:val="6491B73F"/>
    <w:rsid w:val="6492EACB"/>
    <w:rsid w:val="6498A304"/>
    <w:rsid w:val="649B71C4"/>
    <w:rsid w:val="649B7FDF"/>
    <w:rsid w:val="64B38761"/>
    <w:rsid w:val="64BB5120"/>
    <w:rsid w:val="64BC18B6"/>
    <w:rsid w:val="64C2BDFD"/>
    <w:rsid w:val="64D33584"/>
    <w:rsid w:val="64EDB898"/>
    <w:rsid w:val="64F3F1B9"/>
    <w:rsid w:val="64F451C8"/>
    <w:rsid w:val="64FA2B2D"/>
    <w:rsid w:val="65033475"/>
    <w:rsid w:val="650AF7C0"/>
    <w:rsid w:val="65178FB9"/>
    <w:rsid w:val="6519A7C0"/>
    <w:rsid w:val="6519D130"/>
    <w:rsid w:val="652F1DA8"/>
    <w:rsid w:val="6536D20E"/>
    <w:rsid w:val="6537EBB6"/>
    <w:rsid w:val="654923A7"/>
    <w:rsid w:val="654A128C"/>
    <w:rsid w:val="6562F977"/>
    <w:rsid w:val="65661763"/>
    <w:rsid w:val="656711A8"/>
    <w:rsid w:val="6568BA0C"/>
    <w:rsid w:val="657F6BF4"/>
    <w:rsid w:val="657FD092"/>
    <w:rsid w:val="6584FF63"/>
    <w:rsid w:val="65877366"/>
    <w:rsid w:val="65904A4A"/>
    <w:rsid w:val="65964AEA"/>
    <w:rsid w:val="659A823A"/>
    <w:rsid w:val="659D45E5"/>
    <w:rsid w:val="65A8C669"/>
    <w:rsid w:val="65B41BF1"/>
    <w:rsid w:val="65B840B7"/>
    <w:rsid w:val="65BCEE73"/>
    <w:rsid w:val="65C05E1C"/>
    <w:rsid w:val="65C09019"/>
    <w:rsid w:val="65C849D3"/>
    <w:rsid w:val="65CCAEBA"/>
    <w:rsid w:val="65CD882F"/>
    <w:rsid w:val="65E778E2"/>
    <w:rsid w:val="65E94B04"/>
    <w:rsid w:val="661ADC53"/>
    <w:rsid w:val="661DB182"/>
    <w:rsid w:val="662AF870"/>
    <w:rsid w:val="662DB4F5"/>
    <w:rsid w:val="66364681"/>
    <w:rsid w:val="663680F0"/>
    <w:rsid w:val="6639710F"/>
    <w:rsid w:val="663CC362"/>
    <w:rsid w:val="6648666F"/>
    <w:rsid w:val="664ECEE4"/>
    <w:rsid w:val="6656ABEE"/>
    <w:rsid w:val="665D8055"/>
    <w:rsid w:val="666997DC"/>
    <w:rsid w:val="666F54D6"/>
    <w:rsid w:val="667115CA"/>
    <w:rsid w:val="66734DEB"/>
    <w:rsid w:val="66790350"/>
    <w:rsid w:val="6685A07F"/>
    <w:rsid w:val="668B0761"/>
    <w:rsid w:val="668D9DD1"/>
    <w:rsid w:val="66A6F25C"/>
    <w:rsid w:val="66AF2DE9"/>
    <w:rsid w:val="66B9BED9"/>
    <w:rsid w:val="66C16055"/>
    <w:rsid w:val="66E3AD46"/>
    <w:rsid w:val="66ECF3DC"/>
    <w:rsid w:val="670FCBE4"/>
    <w:rsid w:val="6712FB2A"/>
    <w:rsid w:val="672BD9F4"/>
    <w:rsid w:val="672DEA61"/>
    <w:rsid w:val="67359A60"/>
    <w:rsid w:val="673A9298"/>
    <w:rsid w:val="674770DD"/>
    <w:rsid w:val="675B9D08"/>
    <w:rsid w:val="676CBDA4"/>
    <w:rsid w:val="67834943"/>
    <w:rsid w:val="6785AEC3"/>
    <w:rsid w:val="67B3407C"/>
    <w:rsid w:val="67B3482C"/>
    <w:rsid w:val="67BBD39D"/>
    <w:rsid w:val="67BFBC2F"/>
    <w:rsid w:val="67C8337F"/>
    <w:rsid w:val="67E5325C"/>
    <w:rsid w:val="67EA3403"/>
    <w:rsid w:val="68044EB7"/>
    <w:rsid w:val="68048CC1"/>
    <w:rsid w:val="68077BD4"/>
    <w:rsid w:val="680AB1D6"/>
    <w:rsid w:val="6813FED0"/>
    <w:rsid w:val="68165DA3"/>
    <w:rsid w:val="682477A3"/>
    <w:rsid w:val="682596E0"/>
    <w:rsid w:val="682FCF6E"/>
    <w:rsid w:val="6840202F"/>
    <w:rsid w:val="6843A937"/>
    <w:rsid w:val="684E2B86"/>
    <w:rsid w:val="6859156D"/>
    <w:rsid w:val="685ACE22"/>
    <w:rsid w:val="685D3CA3"/>
    <w:rsid w:val="68643EF6"/>
    <w:rsid w:val="6881DA3C"/>
    <w:rsid w:val="68A4CB0C"/>
    <w:rsid w:val="68ABDFAA"/>
    <w:rsid w:val="68AFE6D1"/>
    <w:rsid w:val="68B2E3B4"/>
    <w:rsid w:val="68B383F4"/>
    <w:rsid w:val="68C57543"/>
    <w:rsid w:val="68DBFB2B"/>
    <w:rsid w:val="68EC8BD6"/>
    <w:rsid w:val="68FF8D2A"/>
    <w:rsid w:val="69041B83"/>
    <w:rsid w:val="690F8AE0"/>
    <w:rsid w:val="691F19A4"/>
    <w:rsid w:val="69426536"/>
    <w:rsid w:val="6946DA26"/>
    <w:rsid w:val="695B8C90"/>
    <w:rsid w:val="695BDB56"/>
    <w:rsid w:val="697A5E41"/>
    <w:rsid w:val="698E0BB3"/>
    <w:rsid w:val="699A71A4"/>
    <w:rsid w:val="69A9ECA9"/>
    <w:rsid w:val="69AFCF31"/>
    <w:rsid w:val="69BB170D"/>
    <w:rsid w:val="69BD191A"/>
    <w:rsid w:val="69D26995"/>
    <w:rsid w:val="69D6A598"/>
    <w:rsid w:val="69E3ABC3"/>
    <w:rsid w:val="69EA5B7B"/>
    <w:rsid w:val="69EB91F2"/>
    <w:rsid w:val="69F81BA4"/>
    <w:rsid w:val="6A100194"/>
    <w:rsid w:val="6A117CF5"/>
    <w:rsid w:val="6A12EFE7"/>
    <w:rsid w:val="6A1F9AA9"/>
    <w:rsid w:val="6A211929"/>
    <w:rsid w:val="6A2BC29F"/>
    <w:rsid w:val="6A3168E3"/>
    <w:rsid w:val="6A366A9A"/>
    <w:rsid w:val="6A48CDC9"/>
    <w:rsid w:val="6A4B90DD"/>
    <w:rsid w:val="6A55041B"/>
    <w:rsid w:val="6A754F0D"/>
    <w:rsid w:val="6A7A810B"/>
    <w:rsid w:val="6A7A8671"/>
    <w:rsid w:val="6A7C9C42"/>
    <w:rsid w:val="6A7FA335"/>
    <w:rsid w:val="6A8BB1DA"/>
    <w:rsid w:val="6A8F6983"/>
    <w:rsid w:val="6A93EA72"/>
    <w:rsid w:val="6A9C5EB2"/>
    <w:rsid w:val="6AA83FDF"/>
    <w:rsid w:val="6AC0293E"/>
    <w:rsid w:val="6AC58D7F"/>
    <w:rsid w:val="6AD487A1"/>
    <w:rsid w:val="6AD700E0"/>
    <w:rsid w:val="6ADB8C41"/>
    <w:rsid w:val="6AE35EE2"/>
    <w:rsid w:val="6AE7D066"/>
    <w:rsid w:val="6AF75CF1"/>
    <w:rsid w:val="6B0A66AD"/>
    <w:rsid w:val="6B1D1E6B"/>
    <w:rsid w:val="6B2A1D11"/>
    <w:rsid w:val="6B4B9F92"/>
    <w:rsid w:val="6B4C893D"/>
    <w:rsid w:val="6B668F1B"/>
    <w:rsid w:val="6B7275F9"/>
    <w:rsid w:val="6B81E086"/>
    <w:rsid w:val="6B896B48"/>
    <w:rsid w:val="6B90E336"/>
    <w:rsid w:val="6BAB0060"/>
    <w:rsid w:val="6BAB7A68"/>
    <w:rsid w:val="6BBD1AC7"/>
    <w:rsid w:val="6BBD1F12"/>
    <w:rsid w:val="6BBD9C07"/>
    <w:rsid w:val="6BC7D0AC"/>
    <w:rsid w:val="6BCD3944"/>
    <w:rsid w:val="6BD0E134"/>
    <w:rsid w:val="6BD46EC3"/>
    <w:rsid w:val="6BDAAE39"/>
    <w:rsid w:val="6BE39493"/>
    <w:rsid w:val="6BF24D8C"/>
    <w:rsid w:val="6BFC1585"/>
    <w:rsid w:val="6C15E5CE"/>
    <w:rsid w:val="6C168A0F"/>
    <w:rsid w:val="6C3323B9"/>
    <w:rsid w:val="6C3A8201"/>
    <w:rsid w:val="6C40AA98"/>
    <w:rsid w:val="6C583252"/>
    <w:rsid w:val="6C6ED98C"/>
    <w:rsid w:val="6C7277E6"/>
    <w:rsid w:val="6C775CA2"/>
    <w:rsid w:val="6C7825A9"/>
    <w:rsid w:val="6C79075A"/>
    <w:rsid w:val="6C986D40"/>
    <w:rsid w:val="6C996583"/>
    <w:rsid w:val="6CAD80A9"/>
    <w:rsid w:val="6CB612E7"/>
    <w:rsid w:val="6CBA0F46"/>
    <w:rsid w:val="6CC04112"/>
    <w:rsid w:val="6CCE25E0"/>
    <w:rsid w:val="6CF4084B"/>
    <w:rsid w:val="6CF8F2DB"/>
    <w:rsid w:val="6CFE950C"/>
    <w:rsid w:val="6D0A0A57"/>
    <w:rsid w:val="6D0A2EE0"/>
    <w:rsid w:val="6D0B743C"/>
    <w:rsid w:val="6D2431E4"/>
    <w:rsid w:val="6D2EC376"/>
    <w:rsid w:val="6D30A1D9"/>
    <w:rsid w:val="6D37535D"/>
    <w:rsid w:val="6D3A2F8D"/>
    <w:rsid w:val="6D4AD26B"/>
    <w:rsid w:val="6D519AE7"/>
    <w:rsid w:val="6D552471"/>
    <w:rsid w:val="6D64BC8A"/>
    <w:rsid w:val="6D7AAA2F"/>
    <w:rsid w:val="6D8265DA"/>
    <w:rsid w:val="6D8ABD3E"/>
    <w:rsid w:val="6D8D2876"/>
    <w:rsid w:val="6D90BDDF"/>
    <w:rsid w:val="6D90E2DD"/>
    <w:rsid w:val="6DB2EB21"/>
    <w:rsid w:val="6DB83DC5"/>
    <w:rsid w:val="6DB84BE0"/>
    <w:rsid w:val="6DCADE8C"/>
    <w:rsid w:val="6DCB4022"/>
    <w:rsid w:val="6DCBA1FE"/>
    <w:rsid w:val="6DD859A0"/>
    <w:rsid w:val="6DDBD591"/>
    <w:rsid w:val="6DDD305A"/>
    <w:rsid w:val="6DE303F9"/>
    <w:rsid w:val="6DF402B3"/>
    <w:rsid w:val="6DF4F047"/>
    <w:rsid w:val="6DF7AEAA"/>
    <w:rsid w:val="6E14D7BB"/>
    <w:rsid w:val="6E1F86CD"/>
    <w:rsid w:val="6E225E56"/>
    <w:rsid w:val="6E2E8F1D"/>
    <w:rsid w:val="6E4C9553"/>
    <w:rsid w:val="6E5D7520"/>
    <w:rsid w:val="6E63B1F4"/>
    <w:rsid w:val="6E841535"/>
    <w:rsid w:val="6E8886C4"/>
    <w:rsid w:val="6E908A3D"/>
    <w:rsid w:val="6EA7449D"/>
    <w:rsid w:val="6EB151C4"/>
    <w:rsid w:val="6ECC723A"/>
    <w:rsid w:val="6ED59E94"/>
    <w:rsid w:val="6ED9AF9C"/>
    <w:rsid w:val="6EE1F16C"/>
    <w:rsid w:val="6EF20263"/>
    <w:rsid w:val="6EFD0724"/>
    <w:rsid w:val="6EFD0FD9"/>
    <w:rsid w:val="6EFF33C2"/>
    <w:rsid w:val="6F008CEB"/>
    <w:rsid w:val="6F02D8BD"/>
    <w:rsid w:val="6F150ABA"/>
    <w:rsid w:val="6F1BB97C"/>
    <w:rsid w:val="6F224469"/>
    <w:rsid w:val="6F339560"/>
    <w:rsid w:val="6F343387"/>
    <w:rsid w:val="6F5CA56C"/>
    <w:rsid w:val="6F784B5A"/>
    <w:rsid w:val="6F796930"/>
    <w:rsid w:val="6F7F5B21"/>
    <w:rsid w:val="6F939A61"/>
    <w:rsid w:val="6FA4CD73"/>
    <w:rsid w:val="6FA7DDC6"/>
    <w:rsid w:val="6FA8FB9A"/>
    <w:rsid w:val="6FAF6C8F"/>
    <w:rsid w:val="6FBCC60F"/>
    <w:rsid w:val="6FBF5BEF"/>
    <w:rsid w:val="6FE1DB97"/>
    <w:rsid w:val="6FF94581"/>
    <w:rsid w:val="70010808"/>
    <w:rsid w:val="700F609C"/>
    <w:rsid w:val="701EDC9A"/>
    <w:rsid w:val="701F10B5"/>
    <w:rsid w:val="70231EED"/>
    <w:rsid w:val="703A4A4A"/>
    <w:rsid w:val="704AF87E"/>
    <w:rsid w:val="704B3EE7"/>
    <w:rsid w:val="704DD4A2"/>
    <w:rsid w:val="704DE12B"/>
    <w:rsid w:val="70554B81"/>
    <w:rsid w:val="7071672F"/>
    <w:rsid w:val="707C9615"/>
    <w:rsid w:val="707EB8B3"/>
    <w:rsid w:val="708DCA14"/>
    <w:rsid w:val="70909E91"/>
    <w:rsid w:val="70A30EBC"/>
    <w:rsid w:val="70A5AC1E"/>
    <w:rsid w:val="70A8DD5E"/>
    <w:rsid w:val="70BA069C"/>
    <w:rsid w:val="70BAD261"/>
    <w:rsid w:val="70BED47B"/>
    <w:rsid w:val="70C45FD8"/>
    <w:rsid w:val="70D7689B"/>
    <w:rsid w:val="70E29560"/>
    <w:rsid w:val="70E6FB02"/>
    <w:rsid w:val="7102EAD5"/>
    <w:rsid w:val="710928AF"/>
    <w:rsid w:val="710E237B"/>
    <w:rsid w:val="7111199D"/>
    <w:rsid w:val="7111A723"/>
    <w:rsid w:val="711EEF13"/>
    <w:rsid w:val="7140E4F3"/>
    <w:rsid w:val="7142A8E1"/>
    <w:rsid w:val="71466499"/>
    <w:rsid w:val="714C5C97"/>
    <w:rsid w:val="715585F0"/>
    <w:rsid w:val="717200AF"/>
    <w:rsid w:val="7178C3F8"/>
    <w:rsid w:val="7180F1CC"/>
    <w:rsid w:val="71830058"/>
    <w:rsid w:val="71907827"/>
    <w:rsid w:val="71991D98"/>
    <w:rsid w:val="719B52B6"/>
    <w:rsid w:val="71A6330F"/>
    <w:rsid w:val="71B7BA71"/>
    <w:rsid w:val="71BAE116"/>
    <w:rsid w:val="71BD2FF6"/>
    <w:rsid w:val="71BF40D1"/>
    <w:rsid w:val="71CA2CA2"/>
    <w:rsid w:val="71DD19E4"/>
    <w:rsid w:val="71E487C2"/>
    <w:rsid w:val="71E9A503"/>
    <w:rsid w:val="71F703FF"/>
    <w:rsid w:val="71FAA8CB"/>
    <w:rsid w:val="72013E7B"/>
    <w:rsid w:val="723041A8"/>
    <w:rsid w:val="72377292"/>
    <w:rsid w:val="72417C7F"/>
    <w:rsid w:val="72678DCC"/>
    <w:rsid w:val="727BF5AC"/>
    <w:rsid w:val="72803AB7"/>
    <w:rsid w:val="72908D8D"/>
    <w:rsid w:val="72925233"/>
    <w:rsid w:val="72A029D2"/>
    <w:rsid w:val="72A25F0E"/>
    <w:rsid w:val="72A597D5"/>
    <w:rsid w:val="72A693BE"/>
    <w:rsid w:val="72AC6C74"/>
    <w:rsid w:val="72B953A4"/>
    <w:rsid w:val="72BBF96F"/>
    <w:rsid w:val="72BFB69A"/>
    <w:rsid w:val="72CF04E3"/>
    <w:rsid w:val="72D5EA81"/>
    <w:rsid w:val="72DCD925"/>
    <w:rsid w:val="72DE1300"/>
    <w:rsid w:val="72DE138A"/>
    <w:rsid w:val="72E7D2C3"/>
    <w:rsid w:val="72F2F7F0"/>
    <w:rsid w:val="72F96F08"/>
    <w:rsid w:val="7305D690"/>
    <w:rsid w:val="730DD110"/>
    <w:rsid w:val="731306D3"/>
    <w:rsid w:val="732950CA"/>
    <w:rsid w:val="732D608D"/>
    <w:rsid w:val="73347444"/>
    <w:rsid w:val="73538AD2"/>
    <w:rsid w:val="73594459"/>
    <w:rsid w:val="737AB5C0"/>
    <w:rsid w:val="73857564"/>
    <w:rsid w:val="7389D832"/>
    <w:rsid w:val="738B9293"/>
    <w:rsid w:val="738FB5ED"/>
    <w:rsid w:val="739A20E6"/>
    <w:rsid w:val="73A5D9EF"/>
    <w:rsid w:val="73A907F1"/>
    <w:rsid w:val="73C48E02"/>
    <w:rsid w:val="73C662AC"/>
    <w:rsid w:val="73CF81A2"/>
    <w:rsid w:val="73E03CDE"/>
    <w:rsid w:val="73E07E20"/>
    <w:rsid w:val="73E8E0F3"/>
    <w:rsid w:val="73ED266B"/>
    <w:rsid w:val="73F0B957"/>
    <w:rsid w:val="73F971D3"/>
    <w:rsid w:val="73FC7370"/>
    <w:rsid w:val="7401840D"/>
    <w:rsid w:val="74081416"/>
    <w:rsid w:val="741A3622"/>
    <w:rsid w:val="741C403F"/>
    <w:rsid w:val="741E9BC4"/>
    <w:rsid w:val="7428C514"/>
    <w:rsid w:val="7433720B"/>
    <w:rsid w:val="7434497E"/>
    <w:rsid w:val="74362236"/>
    <w:rsid w:val="743BFBA8"/>
    <w:rsid w:val="744A746A"/>
    <w:rsid w:val="744B6FED"/>
    <w:rsid w:val="7453C7C8"/>
    <w:rsid w:val="746E9537"/>
    <w:rsid w:val="74823729"/>
    <w:rsid w:val="7484A120"/>
    <w:rsid w:val="748D0D7C"/>
    <w:rsid w:val="748D26B2"/>
    <w:rsid w:val="7493BDC4"/>
    <w:rsid w:val="74952581"/>
    <w:rsid w:val="74AA883A"/>
    <w:rsid w:val="74ACCFAA"/>
    <w:rsid w:val="74B0DE68"/>
    <w:rsid w:val="74B2E5BF"/>
    <w:rsid w:val="74C5212B"/>
    <w:rsid w:val="74CE89C2"/>
    <w:rsid w:val="74D01465"/>
    <w:rsid w:val="74D45EF9"/>
    <w:rsid w:val="74D663FE"/>
    <w:rsid w:val="74E7A90A"/>
    <w:rsid w:val="75168621"/>
    <w:rsid w:val="751EEF81"/>
    <w:rsid w:val="752145C5"/>
    <w:rsid w:val="7521622F"/>
    <w:rsid w:val="7525A893"/>
    <w:rsid w:val="752F43C9"/>
    <w:rsid w:val="75302ED5"/>
    <w:rsid w:val="753F09AE"/>
    <w:rsid w:val="75412FD9"/>
    <w:rsid w:val="7543C081"/>
    <w:rsid w:val="7544D852"/>
    <w:rsid w:val="754554F5"/>
    <w:rsid w:val="75474B4F"/>
    <w:rsid w:val="754E777E"/>
    <w:rsid w:val="7586EEB1"/>
    <w:rsid w:val="758E4384"/>
    <w:rsid w:val="7592D292"/>
    <w:rsid w:val="75938C03"/>
    <w:rsid w:val="75990ECC"/>
    <w:rsid w:val="759944AB"/>
    <w:rsid w:val="75A10E36"/>
    <w:rsid w:val="75B60683"/>
    <w:rsid w:val="75BF4268"/>
    <w:rsid w:val="75CCE057"/>
    <w:rsid w:val="75E78CDE"/>
    <w:rsid w:val="75F3657B"/>
    <w:rsid w:val="760A1B42"/>
    <w:rsid w:val="761C4E61"/>
    <w:rsid w:val="762C0793"/>
    <w:rsid w:val="7659BFC4"/>
    <w:rsid w:val="7660F18C"/>
    <w:rsid w:val="76818A7D"/>
    <w:rsid w:val="768E5239"/>
    <w:rsid w:val="76926090"/>
    <w:rsid w:val="7696727B"/>
    <w:rsid w:val="76B967A3"/>
    <w:rsid w:val="76BBABB7"/>
    <w:rsid w:val="76C73EC8"/>
    <w:rsid w:val="76C89038"/>
    <w:rsid w:val="76E0A8B3"/>
    <w:rsid w:val="76E6C1D3"/>
    <w:rsid w:val="76F43BF7"/>
    <w:rsid w:val="76FC5A48"/>
    <w:rsid w:val="76FD1448"/>
    <w:rsid w:val="76FFCFFA"/>
    <w:rsid w:val="770B1CFD"/>
    <w:rsid w:val="770D660D"/>
    <w:rsid w:val="7714AA2E"/>
    <w:rsid w:val="7714EDA2"/>
    <w:rsid w:val="771BC057"/>
    <w:rsid w:val="77229DE1"/>
    <w:rsid w:val="7722BF12"/>
    <w:rsid w:val="772704E1"/>
    <w:rsid w:val="7734871D"/>
    <w:rsid w:val="7735150C"/>
    <w:rsid w:val="774B02CE"/>
    <w:rsid w:val="774B10E9"/>
    <w:rsid w:val="774CCC67"/>
    <w:rsid w:val="7751D6E4"/>
    <w:rsid w:val="77669A82"/>
    <w:rsid w:val="77724F07"/>
    <w:rsid w:val="77835D3F"/>
    <w:rsid w:val="77A4D03D"/>
    <w:rsid w:val="77AC90E4"/>
    <w:rsid w:val="77B3F68A"/>
    <w:rsid w:val="77C15426"/>
    <w:rsid w:val="77C4C774"/>
    <w:rsid w:val="77C720C3"/>
    <w:rsid w:val="77D670F6"/>
    <w:rsid w:val="77E6D4F0"/>
    <w:rsid w:val="77F56C22"/>
    <w:rsid w:val="77F6799F"/>
    <w:rsid w:val="77FE934F"/>
    <w:rsid w:val="782A75C3"/>
    <w:rsid w:val="7839C887"/>
    <w:rsid w:val="783B8227"/>
    <w:rsid w:val="784590DC"/>
    <w:rsid w:val="78532F2E"/>
    <w:rsid w:val="7861383F"/>
    <w:rsid w:val="7866E48B"/>
    <w:rsid w:val="787BE161"/>
    <w:rsid w:val="7887E061"/>
    <w:rsid w:val="789638E9"/>
    <w:rsid w:val="78983BBF"/>
    <w:rsid w:val="7898E4A9"/>
    <w:rsid w:val="78A75EE7"/>
    <w:rsid w:val="78B62579"/>
    <w:rsid w:val="78B7EBD8"/>
    <w:rsid w:val="78BC9C6C"/>
    <w:rsid w:val="78C51881"/>
    <w:rsid w:val="78D1C126"/>
    <w:rsid w:val="78D92B7E"/>
    <w:rsid w:val="78E29C47"/>
    <w:rsid w:val="78E8267C"/>
    <w:rsid w:val="78EF844B"/>
    <w:rsid w:val="78F1E1A8"/>
    <w:rsid w:val="78FD255C"/>
    <w:rsid w:val="79048119"/>
    <w:rsid w:val="791B562E"/>
    <w:rsid w:val="7955A84C"/>
    <w:rsid w:val="79724157"/>
    <w:rsid w:val="79794D17"/>
    <w:rsid w:val="797B61D1"/>
    <w:rsid w:val="79881932"/>
    <w:rsid w:val="799BD632"/>
    <w:rsid w:val="79A42F7D"/>
    <w:rsid w:val="79B29199"/>
    <w:rsid w:val="79B89733"/>
    <w:rsid w:val="79CF81C2"/>
    <w:rsid w:val="79F00816"/>
    <w:rsid w:val="79F8F058"/>
    <w:rsid w:val="7A015426"/>
    <w:rsid w:val="7A0A4FFE"/>
    <w:rsid w:val="7A153DFA"/>
    <w:rsid w:val="7A2CCC99"/>
    <w:rsid w:val="7A36FD2E"/>
    <w:rsid w:val="7A3CC955"/>
    <w:rsid w:val="7A433F92"/>
    <w:rsid w:val="7A60E8E2"/>
    <w:rsid w:val="7A6CB5CE"/>
    <w:rsid w:val="7A6DF6AC"/>
    <w:rsid w:val="7A82AFF7"/>
    <w:rsid w:val="7A91A566"/>
    <w:rsid w:val="7A97B3F8"/>
    <w:rsid w:val="7AA47863"/>
    <w:rsid w:val="7AB7596A"/>
    <w:rsid w:val="7ACC7903"/>
    <w:rsid w:val="7ACF517E"/>
    <w:rsid w:val="7ADC0CD2"/>
    <w:rsid w:val="7AE579EB"/>
    <w:rsid w:val="7AFC6836"/>
    <w:rsid w:val="7AFE9493"/>
    <w:rsid w:val="7B057989"/>
    <w:rsid w:val="7B1291BD"/>
    <w:rsid w:val="7B176C9E"/>
    <w:rsid w:val="7B292C51"/>
    <w:rsid w:val="7B3AD4EE"/>
    <w:rsid w:val="7B3B5CC0"/>
    <w:rsid w:val="7B3E31B4"/>
    <w:rsid w:val="7B475FFB"/>
    <w:rsid w:val="7B5205DA"/>
    <w:rsid w:val="7B76FACB"/>
    <w:rsid w:val="7BAA4511"/>
    <w:rsid w:val="7BB6F774"/>
    <w:rsid w:val="7BBF0710"/>
    <w:rsid w:val="7BC5F2BC"/>
    <w:rsid w:val="7BCA34B1"/>
    <w:rsid w:val="7BCE48EA"/>
    <w:rsid w:val="7BEF8C9A"/>
    <w:rsid w:val="7BF66B30"/>
    <w:rsid w:val="7C077BDF"/>
    <w:rsid w:val="7C08B4F7"/>
    <w:rsid w:val="7C0DF4A0"/>
    <w:rsid w:val="7C1264D9"/>
    <w:rsid w:val="7C23AC31"/>
    <w:rsid w:val="7C3D32D3"/>
    <w:rsid w:val="7C470D8D"/>
    <w:rsid w:val="7C61365D"/>
    <w:rsid w:val="7C76543F"/>
    <w:rsid w:val="7C768AA8"/>
    <w:rsid w:val="7C7EC832"/>
    <w:rsid w:val="7C8D490E"/>
    <w:rsid w:val="7C918420"/>
    <w:rsid w:val="7C92EC39"/>
    <w:rsid w:val="7C99DA36"/>
    <w:rsid w:val="7CAC0F27"/>
    <w:rsid w:val="7CB0EDD9"/>
    <w:rsid w:val="7CB1235F"/>
    <w:rsid w:val="7CD72D21"/>
    <w:rsid w:val="7CE3305C"/>
    <w:rsid w:val="7CE4C5D8"/>
    <w:rsid w:val="7CE57A16"/>
    <w:rsid w:val="7D0EF34A"/>
    <w:rsid w:val="7D103088"/>
    <w:rsid w:val="7D2C57AA"/>
    <w:rsid w:val="7D4C36F9"/>
    <w:rsid w:val="7D5081AF"/>
    <w:rsid w:val="7D521FDE"/>
    <w:rsid w:val="7D5A746C"/>
    <w:rsid w:val="7D646D5B"/>
    <w:rsid w:val="7D6C55CC"/>
    <w:rsid w:val="7D6F2199"/>
    <w:rsid w:val="7D7A46B0"/>
    <w:rsid w:val="7D7DB166"/>
    <w:rsid w:val="7D9418AE"/>
    <w:rsid w:val="7D9AD255"/>
    <w:rsid w:val="7DA068DD"/>
    <w:rsid w:val="7DA6F7F7"/>
    <w:rsid w:val="7DA88F29"/>
    <w:rsid w:val="7DC63BCA"/>
    <w:rsid w:val="7DC7BA11"/>
    <w:rsid w:val="7DD3B07C"/>
    <w:rsid w:val="7DDFD7F4"/>
    <w:rsid w:val="7DE99C84"/>
    <w:rsid w:val="7DF17B50"/>
    <w:rsid w:val="7E020484"/>
    <w:rsid w:val="7E1661E5"/>
    <w:rsid w:val="7E257475"/>
    <w:rsid w:val="7E260C73"/>
    <w:rsid w:val="7E2682CD"/>
    <w:rsid w:val="7E4D8EE5"/>
    <w:rsid w:val="7E61D64F"/>
    <w:rsid w:val="7E61F0A1"/>
    <w:rsid w:val="7E66DBD4"/>
    <w:rsid w:val="7E77DE09"/>
    <w:rsid w:val="7E7DD9D7"/>
    <w:rsid w:val="7E7E8B64"/>
    <w:rsid w:val="7E7F00BD"/>
    <w:rsid w:val="7E9BB2FE"/>
    <w:rsid w:val="7E9C7BD5"/>
    <w:rsid w:val="7EAA331A"/>
    <w:rsid w:val="7EAC68B8"/>
    <w:rsid w:val="7EAC9B47"/>
    <w:rsid w:val="7EB42738"/>
    <w:rsid w:val="7EC3E0FB"/>
    <w:rsid w:val="7ED11B7F"/>
    <w:rsid w:val="7EEC5210"/>
    <w:rsid w:val="7EEE655D"/>
    <w:rsid w:val="7EF4113E"/>
    <w:rsid w:val="7F16E580"/>
    <w:rsid w:val="7F1FFF87"/>
    <w:rsid w:val="7F224432"/>
    <w:rsid w:val="7F2C20F8"/>
    <w:rsid w:val="7F450A46"/>
    <w:rsid w:val="7F4BADF2"/>
    <w:rsid w:val="7F60A2B7"/>
    <w:rsid w:val="7F86B6C4"/>
    <w:rsid w:val="7F945481"/>
    <w:rsid w:val="7FA2C202"/>
    <w:rsid w:val="7FB12B5A"/>
    <w:rsid w:val="7FBAECEE"/>
    <w:rsid w:val="7FCFD959"/>
    <w:rsid w:val="7FE77722"/>
    <w:rsid w:val="7FE95F46"/>
    <w:rsid w:val="7FFA48A4"/>
    <w:rsid w:val="7FFCA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B822"/>
  <w15:chartTrackingRefBased/>
  <w15:docId w15:val="{1BD2F07F-4C61-414F-BD50-AA6361A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E65"/>
    <w:pPr>
      <w:spacing w:after="0" w:line="240" w:lineRule="auto"/>
    </w:pPr>
  </w:style>
  <w:style w:type="character" w:customStyle="1" w:styleId="anchor-text">
    <w:name w:val="anchor-text"/>
    <w:basedOn w:val="DefaultParagraphFont"/>
    <w:rsid w:val="00394CA9"/>
  </w:style>
  <w:style w:type="character" w:styleId="FollowedHyperlink">
    <w:name w:val="FollowedHyperlink"/>
    <w:basedOn w:val="DefaultParagraphFont"/>
    <w:uiPriority w:val="99"/>
    <w:semiHidden/>
    <w:unhideWhenUsed/>
    <w:rsid w:val="00394C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C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4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3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4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95F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41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09AF6A92-BB31-4311-918F-E1F3578D4509}">
    <t:Anchor>
      <t:Comment id="2114373667"/>
    </t:Anchor>
    <t:History>
      <t:Event id="{CC1D5995-9B34-4B21-B4FF-E52E778F2266}" time="2023-03-15T14:18:29.884Z">
        <t:Attribution userId="S::jemarsh@uclan.ac.uk::9564af6f-3aaf-467b-89c0-e6ef9b062842" userProvider="AD" userName="John Everett Marsh &lt;School of Psychology &amp; Computer Science&gt;"/>
        <t:Anchor>
          <t:Comment id="2114373667"/>
        </t:Anchor>
        <t:Create/>
      </t:Event>
      <t:Event id="{D193559C-D69D-4C98-991E-FDD032241021}" time="2023-03-15T14:18:29.884Z">
        <t:Attribution userId="S::jemarsh@uclan.ac.uk::9564af6f-3aaf-467b-89c0-e6ef9b062842" userProvider="AD" userName="John Everett Marsh &lt;School of Psychology &amp; Computer Science&gt;"/>
        <t:Anchor>
          <t:Comment id="2114373667"/>
        </t:Anchor>
        <t:Assign userId="S::LBall@uclan.ac.uk::0fd9c080-cb2e-4223-b4af-2b9b03a9de7b" userProvider="AD" userName="Linden Ball &lt;School of Psychology &amp; Computer Science&gt;"/>
      </t:Event>
      <t:Event id="{13B6F58D-7E69-42D4-A93E-C26E09EC89FE}" time="2023-03-15T14:18:29.884Z">
        <t:Attribution userId="S::jemarsh@uclan.ac.uk::9564af6f-3aaf-467b-89c0-e6ef9b062842" userProvider="AD" userName="John Everett Marsh &lt;School of Psychology &amp; Computer Science&gt;"/>
        <t:Anchor>
          <t:Comment id="2114373667"/>
        </t:Anchor>
        <t:SetTitle title="@Linden Ball &lt;School of Psychology &amp; Computer Science&gt; Semantic priming paper in draft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AF61036AF2C41800158FC61F09456" ma:contentTypeVersion="7" ma:contentTypeDescription="Create a new document." ma:contentTypeScope="" ma:versionID="2fa88d966558e0cda60f23d55ceb350e">
  <xsd:schema xmlns:xsd="http://www.w3.org/2001/XMLSchema" xmlns:xs="http://www.w3.org/2001/XMLSchema" xmlns:p="http://schemas.microsoft.com/office/2006/metadata/properties" xmlns:ns2="c51a768b-988b-490b-b7a1-7348bbac3aab" xmlns:ns3="72a04848-1cfd-4b10-b802-0a1a0d993107" targetNamespace="http://schemas.microsoft.com/office/2006/metadata/properties" ma:root="true" ma:fieldsID="df2bd5446f727be9fbb6a3158e4b16a5" ns2:_="" ns3:_="">
    <xsd:import namespace="c51a768b-988b-490b-b7a1-7348bbac3aab"/>
    <xsd:import namespace="72a04848-1cfd-4b10-b802-0a1a0d99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768b-988b-490b-b7a1-7348bbac3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04848-1cfd-4b10-b802-0a1a0d99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0E04-7882-4E55-8FFA-6C22006D2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a768b-988b-490b-b7a1-7348bbac3aab"/>
    <ds:schemaRef ds:uri="72a04848-1cfd-4b10-b802-0a1a0d99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791D2-BDE9-450A-9C45-40248CD72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2B768-1D4C-43E4-9C31-2E681D836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12056</CharactersWithSpaces>
  <SharedDoc>false</SharedDoc>
  <HLinks>
    <vt:vector size="396" baseType="variant">
      <vt:variant>
        <vt:i4>7995518</vt:i4>
      </vt:variant>
      <vt:variant>
        <vt:i4>195</vt:i4>
      </vt:variant>
      <vt:variant>
        <vt:i4>0</vt:i4>
      </vt:variant>
      <vt:variant>
        <vt:i4>5</vt:i4>
      </vt:variant>
      <vt:variant>
        <vt:lpwstr>https://psycnet.apa.org/doi/10.1037/xhp0000680</vt:lpwstr>
      </vt:variant>
      <vt:variant>
        <vt:lpwstr/>
      </vt:variant>
      <vt:variant>
        <vt:i4>5439516</vt:i4>
      </vt:variant>
      <vt:variant>
        <vt:i4>192</vt:i4>
      </vt:variant>
      <vt:variant>
        <vt:i4>0</vt:i4>
      </vt:variant>
      <vt:variant>
        <vt:i4>5</vt:i4>
      </vt:variant>
      <vt:variant>
        <vt:lpwstr>https://doi.org/10.1016/j.jml.2003.10.003</vt:lpwstr>
      </vt:variant>
      <vt:variant>
        <vt:lpwstr/>
      </vt:variant>
      <vt:variant>
        <vt:i4>7340130</vt:i4>
      </vt:variant>
      <vt:variant>
        <vt:i4>189</vt:i4>
      </vt:variant>
      <vt:variant>
        <vt:i4>0</vt:i4>
      </vt:variant>
      <vt:variant>
        <vt:i4>5</vt:i4>
      </vt:variant>
      <vt:variant>
        <vt:lpwstr>https://psycnet.apa.org/doi/10.1037/xge0000714</vt:lpwstr>
      </vt:variant>
      <vt:variant>
        <vt:lpwstr/>
      </vt:variant>
      <vt:variant>
        <vt:i4>4128878</vt:i4>
      </vt:variant>
      <vt:variant>
        <vt:i4>186</vt:i4>
      </vt:variant>
      <vt:variant>
        <vt:i4>0</vt:i4>
      </vt:variant>
      <vt:variant>
        <vt:i4>5</vt:i4>
      </vt:variant>
      <vt:variant>
        <vt:lpwstr>https://psycnet.apa.org/doi/10.1037/0096-1523.25.4.1005</vt:lpwstr>
      </vt:variant>
      <vt:variant>
        <vt:lpwstr/>
      </vt:variant>
      <vt:variant>
        <vt:i4>8257633</vt:i4>
      </vt:variant>
      <vt:variant>
        <vt:i4>183</vt:i4>
      </vt:variant>
      <vt:variant>
        <vt:i4>0</vt:i4>
      </vt:variant>
      <vt:variant>
        <vt:i4>5</vt:i4>
      </vt:variant>
      <vt:variant>
        <vt:lpwstr>https://doi.org/10.1080/14640746808400169f</vt:lpwstr>
      </vt:variant>
      <vt:variant>
        <vt:lpwstr/>
      </vt:variant>
      <vt:variant>
        <vt:i4>1179654</vt:i4>
      </vt:variant>
      <vt:variant>
        <vt:i4>180</vt:i4>
      </vt:variant>
      <vt:variant>
        <vt:i4>0</vt:i4>
      </vt:variant>
      <vt:variant>
        <vt:i4>5</vt:i4>
      </vt:variant>
      <vt:variant>
        <vt:lpwstr>https://doi.org/10.1037/h0027242</vt:lpwstr>
      </vt:variant>
      <vt:variant>
        <vt:lpwstr/>
      </vt:variant>
      <vt:variant>
        <vt:i4>2293808</vt:i4>
      </vt:variant>
      <vt:variant>
        <vt:i4>177</vt:i4>
      </vt:variant>
      <vt:variant>
        <vt:i4>0</vt:i4>
      </vt:variant>
      <vt:variant>
        <vt:i4>5</vt:i4>
      </vt:variant>
      <vt:variant>
        <vt:lpwstr>https://doi.org/10.1111/j.1467-9450.2011.00936.</vt:lpwstr>
      </vt:variant>
      <vt:variant>
        <vt:lpwstr/>
      </vt:variant>
      <vt:variant>
        <vt:i4>327707</vt:i4>
      </vt:variant>
      <vt:variant>
        <vt:i4>174</vt:i4>
      </vt:variant>
      <vt:variant>
        <vt:i4>0</vt:i4>
      </vt:variant>
      <vt:variant>
        <vt:i4>5</vt:i4>
      </vt:variant>
      <vt:variant>
        <vt:lpwstr>https://psycnet.apa.org/doi/10.1016/S0022-5371(82)90521-7</vt:lpwstr>
      </vt:variant>
      <vt:variant>
        <vt:lpwstr/>
      </vt:variant>
      <vt:variant>
        <vt:i4>2883699</vt:i4>
      </vt:variant>
      <vt:variant>
        <vt:i4>171</vt:i4>
      </vt:variant>
      <vt:variant>
        <vt:i4>0</vt:i4>
      </vt:variant>
      <vt:variant>
        <vt:i4>5</vt:i4>
      </vt:variant>
      <vt:variant>
        <vt:lpwstr>https://psycnet.apa.org/doi/10.1080/027249899391115</vt:lpwstr>
      </vt:variant>
      <vt:variant>
        <vt:lpwstr/>
      </vt:variant>
      <vt:variant>
        <vt:i4>17</vt:i4>
      </vt:variant>
      <vt:variant>
        <vt:i4>168</vt:i4>
      </vt:variant>
      <vt:variant>
        <vt:i4>0</vt:i4>
      </vt:variant>
      <vt:variant>
        <vt:i4>5</vt:i4>
      </vt:variant>
      <vt:variant>
        <vt:lpwstr>https://doi.org/10.3758/s13423-016-1186-3</vt:lpwstr>
      </vt:variant>
      <vt:variant>
        <vt:lpwstr/>
      </vt:variant>
      <vt:variant>
        <vt:i4>589829</vt:i4>
      </vt:variant>
      <vt:variant>
        <vt:i4>165</vt:i4>
      </vt:variant>
      <vt:variant>
        <vt:i4>0</vt:i4>
      </vt:variant>
      <vt:variant>
        <vt:i4>5</vt:i4>
      </vt:variant>
      <vt:variant>
        <vt:lpwstr>https://doi.org/10.1016/S0022-5371(73)80059-3</vt:lpwstr>
      </vt:variant>
      <vt:variant>
        <vt:lpwstr/>
      </vt:variant>
      <vt:variant>
        <vt:i4>917570</vt:i4>
      </vt:variant>
      <vt:variant>
        <vt:i4>162</vt:i4>
      </vt:variant>
      <vt:variant>
        <vt:i4>0</vt:i4>
      </vt:variant>
      <vt:variant>
        <vt:i4>5</vt:i4>
      </vt:variant>
      <vt:variant>
        <vt:lpwstr>https://doi.org/10.1080/25742442.2022.2124799</vt:lpwstr>
      </vt:variant>
      <vt:variant>
        <vt:lpwstr/>
      </vt:variant>
      <vt:variant>
        <vt:i4>1900612</vt:i4>
      </vt:variant>
      <vt:variant>
        <vt:i4>159</vt:i4>
      </vt:variant>
      <vt:variant>
        <vt:i4>0</vt:i4>
      </vt:variant>
      <vt:variant>
        <vt:i4>5</vt:i4>
      </vt:variant>
      <vt:variant>
        <vt:lpwstr>https://psycnet.apa.org/doi/10.1080/14640749508401396</vt:lpwstr>
      </vt:variant>
      <vt:variant>
        <vt:lpwstr/>
      </vt:variant>
      <vt:variant>
        <vt:i4>3145831</vt:i4>
      </vt:variant>
      <vt:variant>
        <vt:i4>156</vt:i4>
      </vt:variant>
      <vt:variant>
        <vt:i4>0</vt:i4>
      </vt:variant>
      <vt:variant>
        <vt:i4>5</vt:i4>
      </vt:variant>
      <vt:variant>
        <vt:lpwstr>https://psycnet.apa.org/doi/10.1037/0278-7393.28.3.411</vt:lpwstr>
      </vt:variant>
      <vt:variant>
        <vt:lpwstr/>
      </vt:variant>
      <vt:variant>
        <vt:i4>3932223</vt:i4>
      </vt:variant>
      <vt:variant>
        <vt:i4>153</vt:i4>
      </vt:variant>
      <vt:variant>
        <vt:i4>0</vt:i4>
      </vt:variant>
      <vt:variant>
        <vt:i4>5</vt:i4>
      </vt:variant>
      <vt:variant>
        <vt:lpwstr>http://www.usf.edu/FreeAssociation/</vt:lpwstr>
      </vt:variant>
      <vt:variant>
        <vt:lpwstr/>
      </vt:variant>
      <vt:variant>
        <vt:i4>7667757</vt:i4>
      </vt:variant>
      <vt:variant>
        <vt:i4>150</vt:i4>
      </vt:variant>
      <vt:variant>
        <vt:i4>0</vt:i4>
      </vt:variant>
      <vt:variant>
        <vt:i4>5</vt:i4>
      </vt:variant>
      <vt:variant>
        <vt:lpwstr>https://psycnet.apa.org/doi/10.3758/BF03212998</vt:lpwstr>
      </vt:variant>
      <vt:variant>
        <vt:lpwstr/>
      </vt:variant>
      <vt:variant>
        <vt:i4>7733286</vt:i4>
      </vt:variant>
      <vt:variant>
        <vt:i4>147</vt:i4>
      </vt:variant>
      <vt:variant>
        <vt:i4>0</vt:i4>
      </vt:variant>
      <vt:variant>
        <vt:i4>5</vt:i4>
      </vt:variant>
      <vt:variant>
        <vt:lpwstr>https://psycnet.apa.org/doi/10.3758/BF03201211</vt:lpwstr>
      </vt:variant>
      <vt:variant>
        <vt:lpwstr/>
      </vt:variant>
      <vt:variant>
        <vt:i4>4849693</vt:i4>
      </vt:variant>
      <vt:variant>
        <vt:i4>144</vt:i4>
      </vt:variant>
      <vt:variant>
        <vt:i4>0</vt:i4>
      </vt:variant>
      <vt:variant>
        <vt:i4>5</vt:i4>
      </vt:variant>
      <vt:variant>
        <vt:lpwstr>https://psycnet.apa.org/doi/10.1016/S0749-596X(02)00006-2</vt:lpwstr>
      </vt:variant>
      <vt:variant>
        <vt:lpwstr/>
      </vt:variant>
      <vt:variant>
        <vt:i4>7405677</vt:i4>
      </vt:variant>
      <vt:variant>
        <vt:i4>141</vt:i4>
      </vt:variant>
      <vt:variant>
        <vt:i4>0</vt:i4>
      </vt:variant>
      <vt:variant>
        <vt:i4>5</vt:i4>
      </vt:variant>
      <vt:variant>
        <vt:lpwstr>https://psycnet.apa.org/doi/10.1037/xlm0000861</vt:lpwstr>
      </vt:variant>
      <vt:variant>
        <vt:lpwstr/>
      </vt:variant>
      <vt:variant>
        <vt:i4>852054</vt:i4>
      </vt:variant>
      <vt:variant>
        <vt:i4>138</vt:i4>
      </vt:variant>
      <vt:variant>
        <vt:i4>0</vt:i4>
      </vt:variant>
      <vt:variant>
        <vt:i4>5</vt:i4>
      </vt:variant>
      <vt:variant>
        <vt:lpwstr>https://psycnet.apa.org/doi/10.1037/0278-7393.21.1.3</vt:lpwstr>
      </vt:variant>
      <vt:variant>
        <vt:lpwstr/>
      </vt:variant>
      <vt:variant>
        <vt:i4>65565</vt:i4>
      </vt:variant>
      <vt:variant>
        <vt:i4>135</vt:i4>
      </vt:variant>
      <vt:variant>
        <vt:i4>0</vt:i4>
      </vt:variant>
      <vt:variant>
        <vt:i4>5</vt:i4>
      </vt:variant>
      <vt:variant>
        <vt:lpwstr>https://psycnet.apa.org/doi/10.1016/0749-596X(88)90063-0</vt:lpwstr>
      </vt:variant>
      <vt:variant>
        <vt:lpwstr/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https://doi.org/10.1080/20445911.2021.1900201</vt:lpwstr>
      </vt:variant>
      <vt:variant>
        <vt:lpwstr/>
      </vt:variant>
      <vt:variant>
        <vt:i4>8126576</vt:i4>
      </vt:variant>
      <vt:variant>
        <vt:i4>129</vt:i4>
      </vt:variant>
      <vt:variant>
        <vt:i4>0</vt:i4>
      </vt:variant>
      <vt:variant>
        <vt:i4>5</vt:i4>
      </vt:variant>
      <vt:variant>
        <vt:lpwstr>https://psycnet.apa.org/doi/10.1037/xhp0000060</vt:lpwstr>
      </vt:variant>
      <vt:variant>
        <vt:lpwstr/>
      </vt:variant>
      <vt:variant>
        <vt:i4>1638431</vt:i4>
      </vt:variant>
      <vt:variant>
        <vt:i4>126</vt:i4>
      </vt:variant>
      <vt:variant>
        <vt:i4>0</vt:i4>
      </vt:variant>
      <vt:variant>
        <vt:i4>5</vt:i4>
      </vt:variant>
      <vt:variant>
        <vt:lpwstr>https://psycnet.apa.org/doi/10.1037/a0037779</vt:lpwstr>
      </vt:variant>
      <vt:variant>
        <vt:lpwstr/>
      </vt:variant>
      <vt:variant>
        <vt:i4>7864425</vt:i4>
      </vt:variant>
      <vt:variant>
        <vt:i4>123</vt:i4>
      </vt:variant>
      <vt:variant>
        <vt:i4>0</vt:i4>
      </vt:variant>
      <vt:variant>
        <vt:i4>5</vt:i4>
      </vt:variant>
      <vt:variant>
        <vt:lpwstr>https://psycnet.apa.org/doi/10.1037/xlm0000121</vt:lpwstr>
      </vt:variant>
      <vt:variant>
        <vt:lpwstr/>
      </vt:variant>
      <vt:variant>
        <vt:i4>3014776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https://doi.org/10.1016/j.cognition.2008.08.003</vt:lpwstr>
      </vt:variant>
      <vt:variant>
        <vt:lpwstr/>
      </vt:variant>
      <vt:variant>
        <vt:i4>5636121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https://doi.org/10.1016/j.jml.2007.05.002</vt:lpwstr>
      </vt:variant>
      <vt:variant>
        <vt:lpwstr/>
      </vt:variant>
      <vt:variant>
        <vt:i4>1507356</vt:i4>
      </vt:variant>
      <vt:variant>
        <vt:i4>114</vt:i4>
      </vt:variant>
      <vt:variant>
        <vt:i4>0</vt:i4>
      </vt:variant>
      <vt:variant>
        <vt:i4>5</vt:i4>
      </vt:variant>
      <vt:variant>
        <vt:lpwstr>https://psycnet.apa.org/doi/10.1037/a0027849</vt:lpwstr>
      </vt:variant>
      <vt:variant>
        <vt:lpwstr/>
      </vt:variant>
      <vt:variant>
        <vt:i4>65607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https://doi.org/10.1080/25742442.2022.2063609</vt:lpwstr>
      </vt:variant>
      <vt:variant>
        <vt:lpwstr/>
      </vt:variant>
      <vt:variant>
        <vt:i4>3735649</vt:i4>
      </vt:variant>
      <vt:variant>
        <vt:i4>108</vt:i4>
      </vt:variant>
      <vt:variant>
        <vt:i4>0</vt:i4>
      </vt:variant>
      <vt:variant>
        <vt:i4>5</vt:i4>
      </vt:variant>
      <vt:variant>
        <vt:lpwstr>https://psycnet.apa.org/doi/10.1037/0278-7393.23.2.472</vt:lpwstr>
      </vt:variant>
      <vt:variant>
        <vt:lpwstr/>
      </vt:variant>
      <vt:variant>
        <vt:i4>3604525</vt:i4>
      </vt:variant>
      <vt:variant>
        <vt:i4>105</vt:i4>
      </vt:variant>
      <vt:variant>
        <vt:i4>0</vt:i4>
      </vt:variant>
      <vt:variant>
        <vt:i4>5</vt:i4>
      </vt:variant>
      <vt:variant>
        <vt:lpwstr>https://psycnet.apa.org/doi/10.1037/0033-295X.111.4.880</vt:lpwstr>
      </vt:variant>
      <vt:variant>
        <vt:lpwstr/>
      </vt:variant>
      <vt:variant>
        <vt:i4>65605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https://doi.org/10.1080/25742442.2022.2033109</vt:lpwstr>
      </vt:variant>
      <vt:variant>
        <vt:lpwstr/>
      </vt:variant>
      <vt:variant>
        <vt:i4>6815870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https://doi.org/10.1002/acp.2350040203</vt:lpwstr>
      </vt:variant>
      <vt:variant>
        <vt:lpwstr/>
      </vt:variant>
      <vt:variant>
        <vt:i4>1048593</vt:i4>
      </vt:variant>
      <vt:variant>
        <vt:i4>96</vt:i4>
      </vt:variant>
      <vt:variant>
        <vt:i4>0</vt:i4>
      </vt:variant>
      <vt:variant>
        <vt:i4>5</vt:i4>
      </vt:variant>
      <vt:variant>
        <vt:lpwstr>https://psycnet.apa.org/doi/10.1037/a0026781</vt:lpwstr>
      </vt:variant>
      <vt:variant>
        <vt:lpwstr/>
      </vt:variant>
      <vt:variant>
        <vt:i4>7798821</vt:i4>
      </vt:variant>
      <vt:variant>
        <vt:i4>93</vt:i4>
      </vt:variant>
      <vt:variant>
        <vt:i4>0</vt:i4>
      </vt:variant>
      <vt:variant>
        <vt:i4>5</vt:i4>
      </vt:variant>
      <vt:variant>
        <vt:lpwstr>https://psycnet.apa.org/doi/10.3758/BF03214370</vt:lpwstr>
      </vt:variant>
      <vt:variant>
        <vt:lpwstr/>
      </vt:variant>
      <vt:variant>
        <vt:i4>3932262</vt:i4>
      </vt:variant>
      <vt:variant>
        <vt:i4>90</vt:i4>
      </vt:variant>
      <vt:variant>
        <vt:i4>0</vt:i4>
      </vt:variant>
      <vt:variant>
        <vt:i4>5</vt:i4>
      </vt:variant>
      <vt:variant>
        <vt:lpwstr>https://psycnet.apa.org/doi/10.1037/0278-7393.21.1.103</vt:lpwstr>
      </vt:variant>
      <vt:variant>
        <vt:lpwstr/>
      </vt:variant>
      <vt:variant>
        <vt:i4>4128867</vt:i4>
      </vt:variant>
      <vt:variant>
        <vt:i4>87</vt:i4>
      </vt:variant>
      <vt:variant>
        <vt:i4>0</vt:i4>
      </vt:variant>
      <vt:variant>
        <vt:i4>5</vt:i4>
      </vt:variant>
      <vt:variant>
        <vt:lpwstr>https://psycnet.apa.org/doi/10.1037/0278-7393.19.2.369</vt:lpwstr>
      </vt:variant>
      <vt:variant>
        <vt:lpwstr/>
      </vt:variant>
      <vt:variant>
        <vt:i4>2752618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https://doi.org/10.1348/000712699161314</vt:lpwstr>
      </vt:variant>
      <vt:variant>
        <vt:lpwstr/>
      </vt:variant>
      <vt:variant>
        <vt:i4>3997794</vt:i4>
      </vt:variant>
      <vt:variant>
        <vt:i4>81</vt:i4>
      </vt:variant>
      <vt:variant>
        <vt:i4>0</vt:i4>
      </vt:variant>
      <vt:variant>
        <vt:i4>5</vt:i4>
      </vt:variant>
      <vt:variant>
        <vt:lpwstr>https://psycnet.apa.org/doi/10.1037/0278-7393.30.3.656</vt:lpwstr>
      </vt:variant>
      <vt:variant>
        <vt:lpwstr/>
      </vt:variant>
      <vt:variant>
        <vt:i4>6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https://doi.org/10.1016/S0022-5371(81)90138-9</vt:lpwstr>
      </vt:variant>
      <vt:variant>
        <vt:lpwstr/>
      </vt:variant>
      <vt:variant>
        <vt:i4>4128871</vt:i4>
      </vt:variant>
      <vt:variant>
        <vt:i4>75</vt:i4>
      </vt:variant>
      <vt:variant>
        <vt:i4>0</vt:i4>
      </vt:variant>
      <vt:variant>
        <vt:i4>5</vt:i4>
      </vt:variant>
      <vt:variant>
        <vt:lpwstr>https://psycnet.apa.org/doi/10.1037/0278-7393.33.6.1050</vt:lpwstr>
      </vt:variant>
      <vt:variant>
        <vt:lpwstr/>
      </vt:variant>
      <vt:variant>
        <vt:i4>3801188</vt:i4>
      </vt:variant>
      <vt:variant>
        <vt:i4>72</vt:i4>
      </vt:variant>
      <vt:variant>
        <vt:i4>0</vt:i4>
      </vt:variant>
      <vt:variant>
        <vt:i4>5</vt:i4>
      </vt:variant>
      <vt:variant>
        <vt:lpwstr>https://psycnet.apa.org/doi/10.1037/0278-7393.31.4.736</vt:lpwstr>
      </vt:variant>
      <vt:variant>
        <vt:lpwstr/>
      </vt:variant>
      <vt:variant>
        <vt:i4>8192123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https://doi.org/10.1037/xlm0000736</vt:lpwstr>
      </vt:variant>
      <vt:variant>
        <vt:lpwstr/>
      </vt:variant>
      <vt:variant>
        <vt:i4>1376326</vt:i4>
      </vt:variant>
      <vt:variant>
        <vt:i4>66</vt:i4>
      </vt:variant>
      <vt:variant>
        <vt:i4>0</vt:i4>
      </vt:variant>
      <vt:variant>
        <vt:i4>5</vt:i4>
      </vt:variant>
      <vt:variant>
        <vt:lpwstr>https://psycnet.apa.org/doi/10.1017/S0140525X00021269</vt:lpwstr>
      </vt:variant>
      <vt:variant>
        <vt:lpwstr/>
      </vt:variant>
      <vt:variant>
        <vt:i4>5373967</vt:i4>
      </vt:variant>
      <vt:variant>
        <vt:i4>63</vt:i4>
      </vt:variant>
      <vt:variant>
        <vt:i4>0</vt:i4>
      </vt:variant>
      <vt:variant>
        <vt:i4>5</vt:i4>
      </vt:variant>
      <vt:variant>
        <vt:lpwstr>https://psycnet.apa.org/doi/10.1016/j.jml.2016.11.005</vt:lpwstr>
      </vt:variant>
      <vt:variant>
        <vt:lpwstr/>
      </vt:variant>
      <vt:variant>
        <vt:i4>1048604</vt:i4>
      </vt:variant>
      <vt:variant>
        <vt:i4>60</vt:i4>
      </vt:variant>
      <vt:variant>
        <vt:i4>0</vt:i4>
      </vt:variant>
      <vt:variant>
        <vt:i4>5</vt:i4>
      </vt:variant>
      <vt:variant>
        <vt:lpwstr>https://psycnet.apa.org/doi/10.1037/a0020731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https://doi.org/10.1037/0003-066X.47.6.766</vt:lpwstr>
      </vt:variant>
      <vt:variant>
        <vt:lpwstr/>
      </vt:variant>
      <vt:variant>
        <vt:i4>4128874</vt:i4>
      </vt:variant>
      <vt:variant>
        <vt:i4>54</vt:i4>
      </vt:variant>
      <vt:variant>
        <vt:i4>0</vt:i4>
      </vt:variant>
      <vt:variant>
        <vt:i4>5</vt:i4>
      </vt:variant>
      <vt:variant>
        <vt:lpwstr>https://psycnet.apa.org/doi/10.1037/0096-1523.24.5.1406</vt:lpwstr>
      </vt:variant>
      <vt:variant>
        <vt:lpwstr/>
      </vt:variant>
      <vt:variant>
        <vt:i4>131137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https://doi.org/10.1037/0278-7393.6.5.588</vt:lpwstr>
      </vt:variant>
      <vt:variant>
        <vt:lpwstr/>
      </vt:variant>
      <vt:variant>
        <vt:i4>8060975</vt:i4>
      </vt:variant>
      <vt:variant>
        <vt:i4>48</vt:i4>
      </vt:variant>
      <vt:variant>
        <vt:i4>0</vt:i4>
      </vt:variant>
      <vt:variant>
        <vt:i4>5</vt:i4>
      </vt:variant>
      <vt:variant>
        <vt:lpwstr>https://psycnet.apa.org/doi/10.3758/BF03198423</vt:lpwstr>
      </vt:variant>
      <vt:variant>
        <vt:lpwstr/>
      </vt:variant>
      <vt:variant>
        <vt:i4>1638415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https://doi.org/10.1037/a0025368</vt:lpwstr>
      </vt:variant>
      <vt:variant>
        <vt:lpwstr/>
      </vt:variant>
      <vt:variant>
        <vt:i4>851997</vt:i4>
      </vt:variant>
      <vt:variant>
        <vt:i4>42</vt:i4>
      </vt:variant>
      <vt:variant>
        <vt:i4>0</vt:i4>
      </vt:variant>
      <vt:variant>
        <vt:i4>5</vt:i4>
      </vt:variant>
      <vt:variant>
        <vt:lpwstr>https://psycnet.apa.org/doi/10.1016/S0022-5371(69)80048-4</vt:lpwstr>
      </vt:variant>
      <vt:variant>
        <vt:lpwstr/>
      </vt:variant>
      <vt:variant>
        <vt:i4>3735593</vt:i4>
      </vt:variant>
      <vt:variant>
        <vt:i4>39</vt:i4>
      </vt:variant>
      <vt:variant>
        <vt:i4>0</vt:i4>
      </vt:variant>
      <vt:variant>
        <vt:i4>5</vt:i4>
      </vt:variant>
      <vt:variant>
        <vt:lpwstr>https://psycnet.apa.org/doi/10.1037/0033-295X.82.6.407</vt:lpwstr>
      </vt:variant>
      <vt:variant>
        <vt:lpwstr/>
      </vt:variant>
      <vt:variant>
        <vt:i4>524312</vt:i4>
      </vt:variant>
      <vt:variant>
        <vt:i4>36</vt:i4>
      </vt:variant>
      <vt:variant>
        <vt:i4>0</vt:i4>
      </vt:variant>
      <vt:variant>
        <vt:i4>5</vt:i4>
      </vt:variant>
      <vt:variant>
        <vt:lpwstr>https://psycnet.apa.org/doi/10.1016/S0022-5371(76)90003-7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https://psycnet.apa.org/doi/10.1016/S0022-5371(80)90403-X</vt:lpwstr>
      </vt:variant>
      <vt:variant>
        <vt:lpwstr/>
      </vt:variant>
      <vt:variant>
        <vt:i4>1769565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https://doi.org/10.1080/713755633</vt:lpwstr>
      </vt:variant>
      <vt:variant>
        <vt:lpwstr/>
      </vt:variant>
      <vt:variant>
        <vt:i4>2752627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https://doi.org/10.1111/j.2044-8279.1975.tb03241.x</vt:lpwstr>
      </vt:variant>
      <vt:variant>
        <vt:lpwstr/>
      </vt:variant>
      <vt:variant>
        <vt:i4>655432</vt:i4>
      </vt:variant>
      <vt:variant>
        <vt:i4>24</vt:i4>
      </vt:variant>
      <vt:variant>
        <vt:i4>0</vt:i4>
      </vt:variant>
      <vt:variant>
        <vt:i4>5</vt:i4>
      </vt:variant>
      <vt:variant>
        <vt:lpwstr>https://psycnet.apa.org/doi/10.1037/10037-000</vt:lpwstr>
      </vt:variant>
      <vt:variant>
        <vt:lpwstr/>
      </vt:variant>
      <vt:variant>
        <vt:i4>2621566</vt:i4>
      </vt:variant>
      <vt:variant>
        <vt:i4>21</vt:i4>
      </vt:variant>
      <vt:variant>
        <vt:i4>0</vt:i4>
      </vt:variant>
      <vt:variant>
        <vt:i4>5</vt:i4>
      </vt:variant>
      <vt:variant>
        <vt:lpwstr>https://psycnet.apa.org/doi/10.1080/027249896392360</vt:lpwstr>
      </vt:variant>
      <vt:variant>
        <vt:lpwstr/>
      </vt:variant>
      <vt:variant>
        <vt:i4>131158</vt:i4>
      </vt:variant>
      <vt:variant>
        <vt:i4>18</vt:i4>
      </vt:variant>
      <vt:variant>
        <vt:i4>0</vt:i4>
      </vt:variant>
      <vt:variant>
        <vt:i4>5</vt:i4>
      </vt:variant>
      <vt:variant>
        <vt:lpwstr>https://psycnet.apa.org/doi/10.1080/00221309.1953.9710088</vt:lpwstr>
      </vt:variant>
      <vt:variant>
        <vt:lpwstr/>
      </vt:variant>
      <vt:variant>
        <vt:i4>655454</vt:i4>
      </vt:variant>
      <vt:variant>
        <vt:i4>15</vt:i4>
      </vt:variant>
      <vt:variant>
        <vt:i4>0</vt:i4>
      </vt:variant>
      <vt:variant>
        <vt:i4>5</vt:i4>
      </vt:variant>
      <vt:variant>
        <vt:lpwstr>https://psycnet.apa.org/doi/10.1037/0096-1523.21.1.54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https://psycnet.apa.org/doi/10.1037/0278-7393.23.2.459</vt:lpwstr>
      </vt:variant>
      <vt:variant>
        <vt:lpwstr/>
      </vt:variant>
      <vt:variant>
        <vt:i4>3801190</vt:i4>
      </vt:variant>
      <vt:variant>
        <vt:i4>9</vt:i4>
      </vt:variant>
      <vt:variant>
        <vt:i4>0</vt:i4>
      </vt:variant>
      <vt:variant>
        <vt:i4>5</vt:i4>
      </vt:variant>
      <vt:variant>
        <vt:lpwstr>https://psycnet.apa.org/doi/10.1037/0278-7393.30.5.1106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https://psycnet.apa.org/doi/10.1080/13546783.2014.934399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https://psycnet.apa.org/doi/10.1016/j.jml.2003.08.006</vt:lpwstr>
      </vt:variant>
      <vt:variant>
        <vt:lpwstr/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https://doi.org/10.1027/1618-3169/a000554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Everett Marsh &lt;School of Psychology &amp; Computer Science&gt;</dc:creator>
  <cp:keywords/>
  <dc:description/>
  <cp:lastModifiedBy>John Everett Marsh &lt;School of Psychology &amp; Computer Science&gt;</cp:lastModifiedBy>
  <cp:revision>2</cp:revision>
  <dcterms:created xsi:type="dcterms:W3CDTF">2024-07-24T11:46:00Z</dcterms:created>
  <dcterms:modified xsi:type="dcterms:W3CDTF">2024-07-24T11:46:00Z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0x010100607AF61036AF2C41800158FC61F09456</vt:lpwstr>
  </property>
</Properties>
</file>